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4312" w14:textId="77777777" w:rsidR="00FE3764" w:rsidRDefault="00FE3764">
      <w:pPr>
        <w:pStyle w:val="a3"/>
        <w:rPr>
          <w:i w:val="0"/>
          <w:sz w:val="30"/>
        </w:rPr>
      </w:pPr>
    </w:p>
    <w:p w14:paraId="6B10E061" w14:textId="77777777" w:rsidR="00FE3764" w:rsidRDefault="00FE3764">
      <w:pPr>
        <w:pStyle w:val="a3"/>
        <w:rPr>
          <w:i w:val="0"/>
          <w:sz w:val="25"/>
        </w:rPr>
      </w:pPr>
    </w:p>
    <w:p w14:paraId="017CD716" w14:textId="77777777" w:rsidR="00FE3764" w:rsidRDefault="003D4C11">
      <w:pPr>
        <w:pStyle w:val="3"/>
        <w:ind w:left="6303"/>
        <w:jc w:val="left"/>
      </w:pPr>
      <w:r>
        <w:t>ЗАТВЕРДЖЕНО</w:t>
      </w:r>
    </w:p>
    <w:p w14:paraId="2D54258F" w14:textId="77777777" w:rsidR="00C23ECC" w:rsidRPr="00C23ECC" w:rsidRDefault="00C23ECC" w:rsidP="00C23ECC">
      <w:pPr>
        <w:ind w:left="5103"/>
        <w:rPr>
          <w:sz w:val="24"/>
          <w:szCs w:val="24"/>
        </w:rPr>
      </w:pPr>
      <w:r w:rsidRPr="00C23ECC">
        <w:rPr>
          <w:sz w:val="24"/>
          <w:szCs w:val="24"/>
        </w:rPr>
        <w:t>Національна комісія, що здійснює державне регулювання у сферах електронних комунікацій, радіочастотного спектра та надання послуг поштового зв’язку</w:t>
      </w:r>
    </w:p>
    <w:p w14:paraId="1031AC21" w14:textId="77777777" w:rsidR="00C23ECC" w:rsidRPr="009823F3" w:rsidRDefault="00C23ECC" w:rsidP="00C23ECC">
      <w:pPr>
        <w:jc w:val="both"/>
        <w:rPr>
          <w:sz w:val="28"/>
          <w:szCs w:val="28"/>
          <w:lang w:val="en-US"/>
        </w:rPr>
      </w:pPr>
    </w:p>
    <w:p w14:paraId="5CA53069" w14:textId="77777777" w:rsidR="00FE3764" w:rsidRDefault="003D4C11" w:rsidP="00C23ECC">
      <w:pPr>
        <w:pStyle w:val="a3"/>
        <w:spacing w:before="10"/>
        <w:rPr>
          <w:i w:val="0"/>
          <w:sz w:val="7"/>
        </w:rPr>
      </w:pPr>
      <w:r>
        <w:rPr>
          <w:noProof/>
          <w:lang w:eastAsia="uk-UA"/>
        </w:rPr>
        <mc:AlternateContent>
          <mc:Choice Requires="wps">
            <w:drawing>
              <wp:anchor distT="0" distB="0" distL="0" distR="0" simplePos="0" relativeHeight="487587840" behindDoc="1" locked="0" layoutInCell="1" allowOverlap="1" wp14:anchorId="001B219E" wp14:editId="2BE5545C">
                <wp:simplePos x="0" y="0"/>
                <wp:positionH relativeFrom="page">
                  <wp:posOffset>4320540</wp:posOffset>
                </wp:positionH>
                <wp:positionV relativeFrom="paragraph">
                  <wp:posOffset>168275</wp:posOffset>
                </wp:positionV>
                <wp:extent cx="24384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804 6804"/>
                            <a:gd name="T1" fmla="*/ T0 w 3840"/>
                            <a:gd name="T2" fmla="+- 0 10644 6804"/>
                            <a:gd name="T3" fmla="*/ T2 w 3840"/>
                          </a:gdLst>
                          <a:ahLst/>
                          <a:cxnLst>
                            <a:cxn ang="0">
                              <a:pos x="T1" y="0"/>
                            </a:cxn>
                            <a:cxn ang="0">
                              <a:pos x="T3" y="0"/>
                            </a:cxn>
                          </a:cxnLst>
                          <a:rect l="0" t="0" r="r" b="b"/>
                          <a:pathLst>
                            <a:path w="3840">
                              <a:moveTo>
                                <a:pt x="0" y="0"/>
                              </a:moveTo>
                              <a:lnTo>
                                <a:pt x="38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8E9C79" id="Freeform 3" o:spid="_x0000_s1026" style="position:absolute;margin-left:340.2pt;margin-top:13.25pt;width:19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k9lwIAAJgFAAAOAAAAZHJzL2Uyb0RvYy54bWysVNtu2zAMfR+wfxD0uKGxnWZ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" path="m,l3840,e" filled="f" strokeweight=".26669mm">
                <v:path arrowok="t" o:connecttype="custom" o:connectlocs="0,0;2438400,0" o:connectangles="0,0"/>
                <w10:wrap type="topAndBottom" anchorx="page"/>
              </v:shape>
            </w:pict>
          </mc:Fallback>
        </mc:AlternateContent>
      </w:r>
    </w:p>
    <w:p w14:paraId="483F1A1A" w14:textId="77777777" w:rsidR="00FE3764" w:rsidRDefault="003D4C11">
      <w:pPr>
        <w:spacing w:before="94" w:line="278" w:lineRule="auto"/>
        <w:ind w:left="5343" w:right="269"/>
        <w:rPr>
          <w:sz w:val="16"/>
        </w:rPr>
      </w:pPr>
      <w:r>
        <w:rPr>
          <w:sz w:val="16"/>
        </w:rPr>
        <w:t>(найменування уповноваженого органу управління державного</w:t>
      </w:r>
      <w:r>
        <w:rPr>
          <w:spacing w:val="1"/>
          <w:sz w:val="16"/>
        </w:rPr>
        <w:t xml:space="preserve"> </w:t>
      </w:r>
      <w:r>
        <w:rPr>
          <w:sz w:val="16"/>
        </w:rPr>
        <w:t>унітарного підприємства, номер та дата протоколу загальних зборів</w:t>
      </w:r>
      <w:r>
        <w:rPr>
          <w:spacing w:val="-38"/>
          <w:sz w:val="16"/>
        </w:rPr>
        <w:t xml:space="preserve"> </w:t>
      </w:r>
      <w:r>
        <w:rPr>
          <w:sz w:val="16"/>
        </w:rPr>
        <w:t>акціонерів (учасників) господарського товариства, у статутному</w:t>
      </w:r>
      <w:r>
        <w:rPr>
          <w:spacing w:val="1"/>
          <w:sz w:val="16"/>
        </w:rPr>
        <w:t xml:space="preserve"> </w:t>
      </w:r>
      <w:r>
        <w:rPr>
          <w:sz w:val="16"/>
        </w:rPr>
        <w:t>капіталі</w:t>
      </w:r>
      <w:r>
        <w:rPr>
          <w:spacing w:val="-3"/>
          <w:sz w:val="16"/>
        </w:rPr>
        <w:t xml:space="preserve"> </w:t>
      </w:r>
      <w:r>
        <w:rPr>
          <w:sz w:val="16"/>
        </w:rPr>
        <w:t>якого</w:t>
      </w:r>
      <w:r>
        <w:rPr>
          <w:spacing w:val="-2"/>
          <w:sz w:val="16"/>
        </w:rPr>
        <w:t xml:space="preserve"> </w:t>
      </w:r>
      <w:r>
        <w:rPr>
          <w:sz w:val="16"/>
        </w:rPr>
        <w:t>більше</w:t>
      </w:r>
      <w:r>
        <w:rPr>
          <w:spacing w:val="-2"/>
          <w:sz w:val="16"/>
        </w:rPr>
        <w:t xml:space="preserve"> </w:t>
      </w:r>
      <w:r>
        <w:rPr>
          <w:sz w:val="16"/>
        </w:rPr>
        <w:t>50</w:t>
      </w:r>
      <w:r>
        <w:rPr>
          <w:spacing w:val="-1"/>
          <w:sz w:val="16"/>
        </w:rPr>
        <w:t xml:space="preserve"> </w:t>
      </w:r>
      <w:r>
        <w:rPr>
          <w:sz w:val="16"/>
        </w:rPr>
        <w:t>відсотків</w:t>
      </w:r>
      <w:r>
        <w:rPr>
          <w:spacing w:val="-2"/>
          <w:sz w:val="16"/>
        </w:rPr>
        <w:t xml:space="preserve"> </w:t>
      </w:r>
      <w:r>
        <w:rPr>
          <w:sz w:val="16"/>
        </w:rPr>
        <w:t>акцій</w:t>
      </w:r>
      <w:r>
        <w:rPr>
          <w:spacing w:val="-2"/>
          <w:sz w:val="16"/>
        </w:rPr>
        <w:t xml:space="preserve"> </w:t>
      </w:r>
      <w:r>
        <w:rPr>
          <w:sz w:val="16"/>
        </w:rPr>
        <w:t>(часток)</w:t>
      </w:r>
      <w:r>
        <w:rPr>
          <w:spacing w:val="-1"/>
          <w:sz w:val="16"/>
        </w:rPr>
        <w:t xml:space="preserve"> </w:t>
      </w:r>
      <w:r>
        <w:rPr>
          <w:sz w:val="16"/>
        </w:rPr>
        <w:t>належать</w:t>
      </w:r>
      <w:r>
        <w:rPr>
          <w:spacing w:val="-3"/>
          <w:sz w:val="16"/>
        </w:rPr>
        <w:t xml:space="preserve"> </w:t>
      </w:r>
      <w:r>
        <w:rPr>
          <w:sz w:val="16"/>
        </w:rPr>
        <w:t>державі)</w:t>
      </w:r>
    </w:p>
    <w:p w14:paraId="37D93375" w14:textId="77777777" w:rsidR="00FE3764" w:rsidRDefault="00FE3764">
      <w:pPr>
        <w:pStyle w:val="a3"/>
        <w:rPr>
          <w:i w:val="0"/>
          <w:sz w:val="18"/>
        </w:rPr>
      </w:pPr>
    </w:p>
    <w:p w14:paraId="2297EB71" w14:textId="77777777" w:rsidR="00FE3764" w:rsidRDefault="00FE3764">
      <w:pPr>
        <w:pStyle w:val="a3"/>
        <w:rPr>
          <w:i w:val="0"/>
          <w:sz w:val="18"/>
        </w:rPr>
      </w:pPr>
    </w:p>
    <w:p w14:paraId="39302305" w14:textId="77777777" w:rsidR="00FE3764" w:rsidRDefault="00FE3764">
      <w:pPr>
        <w:pStyle w:val="a3"/>
        <w:rPr>
          <w:i w:val="0"/>
          <w:sz w:val="18"/>
        </w:rPr>
      </w:pPr>
    </w:p>
    <w:p w14:paraId="06BC4FE9" w14:textId="77777777" w:rsidR="00FE3764" w:rsidRDefault="00FE3764">
      <w:pPr>
        <w:pStyle w:val="a3"/>
        <w:spacing w:before="8"/>
        <w:rPr>
          <w:i w:val="0"/>
          <w:sz w:val="22"/>
        </w:rPr>
      </w:pPr>
    </w:p>
    <w:p w14:paraId="01525000" w14:textId="77777777" w:rsidR="00FE3764" w:rsidRDefault="003D4C11">
      <w:pPr>
        <w:pStyle w:val="a4"/>
      </w:pPr>
      <w:r>
        <w:t>ЛИСТ</w:t>
      </w:r>
      <w:r>
        <w:rPr>
          <w:spacing w:val="-3"/>
        </w:rPr>
        <w:t xml:space="preserve"> </w:t>
      </w:r>
      <w:r>
        <w:t>ОЧІКУВАНЬ</w:t>
      </w:r>
      <w:r>
        <w:rPr>
          <w:spacing w:val="-1"/>
        </w:rPr>
        <w:t xml:space="preserve"> </w:t>
      </w:r>
      <w:r>
        <w:t>ВЛАСНИКА</w:t>
      </w:r>
    </w:p>
    <w:p w14:paraId="4DD3C5DF" w14:textId="77777777" w:rsidR="00FE3764" w:rsidRDefault="00FE3764">
      <w:pPr>
        <w:pStyle w:val="a3"/>
        <w:spacing w:before="9"/>
        <w:rPr>
          <w:b/>
          <w:i w:val="0"/>
          <w:sz w:val="28"/>
        </w:rPr>
      </w:pPr>
    </w:p>
    <w:p w14:paraId="505AECDB" w14:textId="77777777" w:rsidR="00C23ECC" w:rsidRPr="00600879" w:rsidRDefault="003D4C11">
      <w:pPr>
        <w:pStyle w:val="3"/>
        <w:tabs>
          <w:tab w:val="left" w:pos="6209"/>
        </w:tabs>
        <w:spacing w:before="88"/>
        <w:ind w:left="124"/>
        <w:jc w:val="center"/>
        <w:rPr>
          <w:b/>
          <w:sz w:val="28"/>
          <w:u w:val="single"/>
        </w:rPr>
      </w:pPr>
      <w:r w:rsidRPr="00600879">
        <w:rPr>
          <w:b/>
          <w:sz w:val="28"/>
          <w:u w:val="single"/>
        </w:rPr>
        <w:t xml:space="preserve"> </w:t>
      </w:r>
      <w:r w:rsidR="00C23ECC" w:rsidRPr="00600879">
        <w:rPr>
          <w:b/>
          <w:sz w:val="28"/>
          <w:u w:val="single"/>
        </w:rPr>
        <w:t>Державне підприємство «Український державний центр радіочастот»</w:t>
      </w:r>
    </w:p>
    <w:p w14:paraId="4B3D61A1" w14:textId="00583F58" w:rsidR="00FE3764" w:rsidRDefault="003D4C11">
      <w:pPr>
        <w:pStyle w:val="3"/>
        <w:tabs>
          <w:tab w:val="left" w:pos="6209"/>
        </w:tabs>
        <w:spacing w:before="88"/>
        <w:ind w:left="124"/>
        <w:jc w:val="center"/>
      </w:pPr>
      <w:r>
        <w:rPr>
          <w:sz w:val="28"/>
        </w:rPr>
        <w:t>(</w:t>
      </w:r>
      <w:r>
        <w:t>Код</w:t>
      </w:r>
      <w:r>
        <w:rPr>
          <w:spacing w:val="-2"/>
        </w:rPr>
        <w:t xml:space="preserve"> </w:t>
      </w:r>
      <w:r>
        <w:t>згідно</w:t>
      </w:r>
      <w:r>
        <w:rPr>
          <w:spacing w:val="-2"/>
        </w:rPr>
        <w:t xml:space="preserve"> </w:t>
      </w:r>
      <w:r>
        <w:t>з</w:t>
      </w:r>
      <w:r>
        <w:rPr>
          <w:spacing w:val="-1"/>
        </w:rPr>
        <w:t xml:space="preserve"> </w:t>
      </w:r>
      <w:r>
        <w:t>ЄДРПОУ</w:t>
      </w:r>
      <w:r w:rsidR="00C23ECC">
        <w:t xml:space="preserve"> </w:t>
      </w:r>
      <w:r w:rsidR="00ED5E15">
        <w:t>0</w:t>
      </w:r>
      <w:r w:rsidR="00C23ECC">
        <w:t>1181765</w:t>
      </w:r>
      <w:r>
        <w:t>)</w:t>
      </w:r>
    </w:p>
    <w:p w14:paraId="0CD72FB0" w14:textId="77777777" w:rsidR="00FE3764" w:rsidRDefault="00FE3764">
      <w:pPr>
        <w:pStyle w:val="a3"/>
        <w:spacing w:before="11"/>
        <w:rPr>
          <w:i w:val="0"/>
          <w:sz w:val="36"/>
        </w:rPr>
      </w:pPr>
    </w:p>
    <w:p w14:paraId="364D3061" w14:textId="77777777" w:rsidR="00FE3764" w:rsidRDefault="003D4C11">
      <w:pPr>
        <w:spacing w:line="396" w:lineRule="auto"/>
        <w:ind w:left="2841" w:right="2714"/>
        <w:jc w:val="center"/>
        <w:rPr>
          <w:sz w:val="13"/>
        </w:rPr>
      </w:pPr>
      <w:r>
        <w:rPr>
          <w:sz w:val="13"/>
        </w:rPr>
        <w:t>(найменування державного унітарного підприємства або господарського товариства,</w:t>
      </w:r>
      <w:r>
        <w:rPr>
          <w:spacing w:val="-31"/>
          <w:sz w:val="13"/>
        </w:rPr>
        <w:t xml:space="preserve"> </w:t>
      </w:r>
      <w:r>
        <w:rPr>
          <w:sz w:val="13"/>
        </w:rPr>
        <w:t>у</w:t>
      </w:r>
      <w:r>
        <w:rPr>
          <w:spacing w:val="-1"/>
          <w:sz w:val="13"/>
        </w:rPr>
        <w:t xml:space="preserve"> </w:t>
      </w:r>
      <w:r>
        <w:rPr>
          <w:sz w:val="13"/>
        </w:rPr>
        <w:t>статутному</w:t>
      </w:r>
      <w:r>
        <w:rPr>
          <w:spacing w:val="-1"/>
          <w:sz w:val="13"/>
        </w:rPr>
        <w:t xml:space="preserve"> </w:t>
      </w:r>
      <w:r>
        <w:rPr>
          <w:sz w:val="13"/>
        </w:rPr>
        <w:t>капіталі</w:t>
      </w:r>
      <w:r>
        <w:rPr>
          <w:spacing w:val="-1"/>
          <w:sz w:val="13"/>
        </w:rPr>
        <w:t xml:space="preserve"> </w:t>
      </w:r>
      <w:r>
        <w:rPr>
          <w:sz w:val="13"/>
        </w:rPr>
        <w:t>якого більше</w:t>
      </w:r>
      <w:r>
        <w:rPr>
          <w:spacing w:val="-1"/>
          <w:sz w:val="13"/>
        </w:rPr>
        <w:t xml:space="preserve"> </w:t>
      </w:r>
      <w:r>
        <w:rPr>
          <w:sz w:val="13"/>
        </w:rPr>
        <w:t>50</w:t>
      </w:r>
      <w:r>
        <w:rPr>
          <w:spacing w:val="-1"/>
          <w:sz w:val="13"/>
        </w:rPr>
        <w:t xml:space="preserve"> </w:t>
      </w:r>
      <w:r>
        <w:rPr>
          <w:sz w:val="13"/>
        </w:rPr>
        <w:t>відсотків акцій</w:t>
      </w:r>
      <w:r>
        <w:rPr>
          <w:spacing w:val="-1"/>
          <w:sz w:val="13"/>
        </w:rPr>
        <w:t xml:space="preserve"> </w:t>
      </w:r>
      <w:r>
        <w:rPr>
          <w:sz w:val="13"/>
        </w:rPr>
        <w:t>(часток)</w:t>
      </w:r>
      <w:r>
        <w:rPr>
          <w:spacing w:val="-1"/>
          <w:sz w:val="13"/>
        </w:rPr>
        <w:t xml:space="preserve"> </w:t>
      </w:r>
      <w:r>
        <w:rPr>
          <w:sz w:val="13"/>
        </w:rPr>
        <w:t>належать державі)</w:t>
      </w:r>
    </w:p>
    <w:p w14:paraId="4A45D0FB" w14:textId="77777777" w:rsidR="00FE3764" w:rsidRDefault="00FE3764">
      <w:pPr>
        <w:pStyle w:val="a3"/>
        <w:spacing w:before="2"/>
        <w:rPr>
          <w:i w:val="0"/>
          <w:sz w:val="15"/>
        </w:rPr>
      </w:pPr>
    </w:p>
    <w:p w14:paraId="736EFB8E" w14:textId="77777777" w:rsidR="00FE3764" w:rsidRDefault="00C23ECC">
      <w:pPr>
        <w:pStyle w:val="1"/>
        <w:tabs>
          <w:tab w:val="left" w:pos="2353"/>
        </w:tabs>
        <w:ind w:left="124"/>
        <w:jc w:val="center"/>
      </w:pPr>
      <w:r>
        <w:t>н</w:t>
      </w:r>
      <w:r w:rsidR="003D4C11">
        <w:t>а</w:t>
      </w:r>
      <w:r>
        <w:t xml:space="preserve"> 2025 р</w:t>
      </w:r>
      <w:r w:rsidR="003D4C11">
        <w:t>ік</w:t>
      </w:r>
    </w:p>
    <w:p w14:paraId="03B576A4" w14:textId="77777777" w:rsidR="00FE3764" w:rsidRDefault="00FE3764">
      <w:pPr>
        <w:pStyle w:val="a3"/>
        <w:rPr>
          <w:i w:val="0"/>
          <w:sz w:val="20"/>
        </w:rPr>
      </w:pPr>
    </w:p>
    <w:p w14:paraId="63953563" w14:textId="77777777" w:rsidR="00FE3764" w:rsidRDefault="00FE3764">
      <w:pPr>
        <w:pStyle w:val="a3"/>
        <w:rPr>
          <w:i w:val="0"/>
          <w:sz w:val="20"/>
        </w:rPr>
      </w:pPr>
    </w:p>
    <w:p w14:paraId="6E2DFF90" w14:textId="77777777" w:rsidR="00FE3764" w:rsidRDefault="00FE3764">
      <w:pPr>
        <w:pStyle w:val="a3"/>
        <w:rPr>
          <w:i w:val="0"/>
          <w:sz w:val="20"/>
        </w:rPr>
      </w:pPr>
    </w:p>
    <w:p w14:paraId="75B22707" w14:textId="77777777" w:rsidR="00FE3764" w:rsidRDefault="00FE3764">
      <w:pPr>
        <w:pStyle w:val="a3"/>
        <w:rPr>
          <w:i w:val="0"/>
          <w:sz w:val="20"/>
        </w:rPr>
      </w:pPr>
    </w:p>
    <w:p w14:paraId="4E903127" w14:textId="77777777" w:rsidR="00FE3764" w:rsidRDefault="00FE3764">
      <w:pPr>
        <w:pStyle w:val="a3"/>
        <w:rPr>
          <w:i w:val="0"/>
          <w:sz w:val="20"/>
        </w:rPr>
      </w:pPr>
    </w:p>
    <w:p w14:paraId="0CBA7785" w14:textId="77777777" w:rsidR="00FE3764" w:rsidRDefault="00FE3764">
      <w:pPr>
        <w:pStyle w:val="a3"/>
        <w:rPr>
          <w:i w:val="0"/>
          <w:sz w:val="20"/>
        </w:rPr>
      </w:pPr>
    </w:p>
    <w:p w14:paraId="6887CE54" w14:textId="77777777" w:rsidR="00FE3764" w:rsidRDefault="00FE3764">
      <w:pPr>
        <w:pStyle w:val="a3"/>
        <w:rPr>
          <w:i w:val="0"/>
          <w:sz w:val="20"/>
        </w:rPr>
      </w:pPr>
    </w:p>
    <w:p w14:paraId="3D036261" w14:textId="77777777" w:rsidR="00FE3764" w:rsidRDefault="00FE3764">
      <w:pPr>
        <w:pStyle w:val="a3"/>
        <w:rPr>
          <w:i w:val="0"/>
          <w:sz w:val="20"/>
        </w:rPr>
      </w:pPr>
    </w:p>
    <w:p w14:paraId="45E1F25D" w14:textId="77777777" w:rsidR="00FE3764" w:rsidRDefault="00FE3764">
      <w:pPr>
        <w:pStyle w:val="a3"/>
        <w:rPr>
          <w:i w:val="0"/>
          <w:sz w:val="20"/>
        </w:rPr>
      </w:pPr>
    </w:p>
    <w:p w14:paraId="081BAC6F" w14:textId="77777777" w:rsidR="00FE3764" w:rsidRDefault="00FE3764">
      <w:pPr>
        <w:pStyle w:val="a3"/>
        <w:rPr>
          <w:i w:val="0"/>
          <w:sz w:val="20"/>
        </w:rPr>
      </w:pPr>
    </w:p>
    <w:p w14:paraId="28B2DF37" w14:textId="77777777" w:rsidR="00FE3764" w:rsidRDefault="00FE3764">
      <w:pPr>
        <w:pStyle w:val="a3"/>
        <w:rPr>
          <w:i w:val="0"/>
          <w:sz w:val="20"/>
        </w:rPr>
      </w:pPr>
    </w:p>
    <w:p w14:paraId="7129FFFE" w14:textId="77777777" w:rsidR="00FE3764" w:rsidRDefault="00FE3764">
      <w:pPr>
        <w:pStyle w:val="a3"/>
        <w:rPr>
          <w:i w:val="0"/>
          <w:sz w:val="20"/>
        </w:rPr>
      </w:pPr>
    </w:p>
    <w:p w14:paraId="734EAA42" w14:textId="77777777" w:rsidR="00FE3764" w:rsidRDefault="00FE3764">
      <w:pPr>
        <w:pStyle w:val="a3"/>
        <w:rPr>
          <w:i w:val="0"/>
          <w:sz w:val="20"/>
        </w:rPr>
      </w:pPr>
    </w:p>
    <w:p w14:paraId="2BE690E7" w14:textId="77777777" w:rsidR="00FE3764" w:rsidRDefault="00FE3764">
      <w:pPr>
        <w:pStyle w:val="a3"/>
        <w:rPr>
          <w:i w:val="0"/>
          <w:sz w:val="20"/>
        </w:rPr>
      </w:pPr>
    </w:p>
    <w:p w14:paraId="4751A930" w14:textId="77777777" w:rsidR="00FE3764" w:rsidRDefault="00FE3764">
      <w:pPr>
        <w:pStyle w:val="a3"/>
        <w:rPr>
          <w:i w:val="0"/>
          <w:sz w:val="20"/>
        </w:rPr>
      </w:pPr>
    </w:p>
    <w:p w14:paraId="22D463EA" w14:textId="77777777" w:rsidR="00FE3764" w:rsidRDefault="00FE3764">
      <w:pPr>
        <w:pStyle w:val="a3"/>
        <w:rPr>
          <w:i w:val="0"/>
          <w:sz w:val="20"/>
        </w:rPr>
      </w:pPr>
    </w:p>
    <w:p w14:paraId="4909DACE" w14:textId="77777777" w:rsidR="00FE3764" w:rsidRDefault="00FE3764">
      <w:pPr>
        <w:pStyle w:val="a3"/>
        <w:rPr>
          <w:i w:val="0"/>
          <w:sz w:val="20"/>
        </w:rPr>
      </w:pPr>
    </w:p>
    <w:p w14:paraId="1A1BDFAA" w14:textId="77777777" w:rsidR="00FE3764" w:rsidRDefault="00FE3764">
      <w:pPr>
        <w:pStyle w:val="a3"/>
        <w:rPr>
          <w:i w:val="0"/>
          <w:sz w:val="20"/>
        </w:rPr>
      </w:pPr>
    </w:p>
    <w:p w14:paraId="3A603388" w14:textId="77777777" w:rsidR="00FE3764" w:rsidRDefault="00FE3764">
      <w:pPr>
        <w:pStyle w:val="a3"/>
        <w:rPr>
          <w:i w:val="0"/>
          <w:sz w:val="20"/>
        </w:rPr>
      </w:pPr>
    </w:p>
    <w:p w14:paraId="17A5B9C8" w14:textId="77777777" w:rsidR="00FE3764" w:rsidRDefault="00FE3764">
      <w:pPr>
        <w:pStyle w:val="a3"/>
        <w:rPr>
          <w:i w:val="0"/>
          <w:sz w:val="20"/>
        </w:rPr>
      </w:pPr>
    </w:p>
    <w:p w14:paraId="4BD4EB2C" w14:textId="77777777" w:rsidR="00FE3764" w:rsidRDefault="00FE3764">
      <w:pPr>
        <w:pStyle w:val="a3"/>
        <w:spacing w:before="6"/>
        <w:rPr>
          <w:i w:val="0"/>
          <w:sz w:val="22"/>
        </w:rPr>
      </w:pPr>
    </w:p>
    <w:p w14:paraId="424ED5B2" w14:textId="77777777" w:rsidR="00FE3764" w:rsidRDefault="00FE3764">
      <w:pPr>
        <w:sectPr w:rsidR="00FE3764">
          <w:type w:val="continuous"/>
          <w:pgSz w:w="12240" w:h="15840"/>
          <w:pgMar w:top="1060" w:right="500" w:bottom="0" w:left="1460" w:header="708" w:footer="708" w:gutter="0"/>
          <w:cols w:space="720"/>
        </w:sectPr>
      </w:pPr>
    </w:p>
    <w:p w14:paraId="6568D7EB" w14:textId="77777777" w:rsidR="00FE3764" w:rsidRPr="00A935C3" w:rsidRDefault="003D4C11" w:rsidP="00A935C3">
      <w:pPr>
        <w:pStyle w:val="2"/>
        <w:rPr>
          <w:sz w:val="28"/>
          <w:szCs w:val="28"/>
        </w:rPr>
      </w:pPr>
      <w:r w:rsidRPr="00A935C3">
        <w:rPr>
          <w:sz w:val="28"/>
          <w:szCs w:val="28"/>
        </w:rPr>
        <w:lastRenderedPageBreak/>
        <w:t>Цілі</w:t>
      </w:r>
      <w:r w:rsidRPr="00A935C3">
        <w:rPr>
          <w:spacing w:val="-1"/>
          <w:sz w:val="28"/>
          <w:szCs w:val="28"/>
        </w:rPr>
        <w:t xml:space="preserve"> </w:t>
      </w:r>
      <w:r w:rsidRPr="00A935C3">
        <w:rPr>
          <w:sz w:val="28"/>
          <w:szCs w:val="28"/>
        </w:rPr>
        <w:t>діяльності Підприємства</w:t>
      </w:r>
    </w:p>
    <w:p w14:paraId="02302C70" w14:textId="77777777" w:rsidR="00EA5DF3" w:rsidRPr="00EA5DF3" w:rsidRDefault="00EA5DF3" w:rsidP="00A935C3">
      <w:pPr>
        <w:widowControl/>
        <w:autoSpaceDE/>
        <w:autoSpaceDN/>
        <w:spacing w:before="120"/>
        <w:ind w:firstLine="709"/>
        <w:jc w:val="both"/>
        <w:rPr>
          <w:rFonts w:eastAsia="Calibri"/>
          <w:sz w:val="28"/>
          <w:szCs w:val="28"/>
        </w:rPr>
      </w:pPr>
      <w:r w:rsidRPr="00EA5DF3">
        <w:rPr>
          <w:rFonts w:eastAsia="Calibri"/>
          <w:sz w:val="28"/>
          <w:szCs w:val="28"/>
        </w:rPr>
        <w:t xml:space="preserve">Державне підприємство «Український державний центр радіочастот» (далі – УДЦР, Підприємство) є державним унітарним, комерційним підприємством, заснованим на державній власності. </w:t>
      </w:r>
    </w:p>
    <w:p w14:paraId="0D2584E8" w14:textId="02CFA4A9" w:rsidR="00EA5DF3" w:rsidRPr="00EA5DF3" w:rsidRDefault="00EA5DF3" w:rsidP="00EA5DF3">
      <w:pPr>
        <w:widowControl/>
        <w:autoSpaceDE/>
        <w:autoSpaceDN/>
        <w:ind w:firstLine="709"/>
        <w:jc w:val="both"/>
        <w:rPr>
          <w:rFonts w:eastAsia="Calibri"/>
          <w:sz w:val="28"/>
          <w:szCs w:val="28"/>
        </w:rPr>
      </w:pPr>
      <w:r w:rsidRPr="00EA5DF3">
        <w:rPr>
          <w:rFonts w:eastAsia="Calibri"/>
          <w:sz w:val="28"/>
          <w:szCs w:val="28"/>
        </w:rPr>
        <w:t>Підприємство відноситься до сфери управління Національної комісії, що здійснює державне регулювання у сферах електронних комунікацій, радіочастотного спектра та надання послуг поштового зв’язку (далі – НКЕК, Уповноважений орган управління) і здійснює свою діяльність на підставі Статуту</w:t>
      </w:r>
      <w:r w:rsidR="00C50F8F">
        <w:rPr>
          <w:rFonts w:eastAsia="Calibri"/>
          <w:sz w:val="28"/>
          <w:szCs w:val="28"/>
        </w:rPr>
        <w:t>.</w:t>
      </w:r>
      <w:r w:rsidRPr="00EA5DF3">
        <w:rPr>
          <w:rFonts w:eastAsia="Calibri"/>
          <w:sz w:val="28"/>
          <w:szCs w:val="28"/>
        </w:rPr>
        <w:t xml:space="preserve"> </w:t>
      </w:r>
    </w:p>
    <w:p w14:paraId="73685EF2" w14:textId="1A91DDCF" w:rsidR="00EA5DF3" w:rsidRDefault="00EA5DF3" w:rsidP="00EA5DF3">
      <w:pPr>
        <w:widowControl/>
        <w:autoSpaceDE/>
        <w:autoSpaceDN/>
        <w:ind w:firstLine="709"/>
        <w:jc w:val="both"/>
        <w:rPr>
          <w:rFonts w:eastAsia="Calibri"/>
          <w:sz w:val="28"/>
          <w:szCs w:val="28"/>
        </w:rPr>
      </w:pPr>
      <w:r w:rsidRPr="00EA5DF3">
        <w:rPr>
          <w:rFonts w:eastAsia="Calibri"/>
          <w:sz w:val="28"/>
          <w:szCs w:val="28"/>
        </w:rPr>
        <w:t>Організаційно УДЦР скл</w:t>
      </w:r>
      <w:r w:rsidR="00FA71A9">
        <w:rPr>
          <w:rFonts w:eastAsia="Calibri"/>
          <w:sz w:val="28"/>
          <w:szCs w:val="28"/>
        </w:rPr>
        <w:t xml:space="preserve">адається з Головного офісу та 9 </w:t>
      </w:r>
      <w:r w:rsidRPr="00EA5DF3">
        <w:rPr>
          <w:rFonts w:eastAsia="Calibri"/>
          <w:sz w:val="28"/>
          <w:szCs w:val="28"/>
        </w:rPr>
        <w:t>філій.</w:t>
      </w:r>
    </w:p>
    <w:p w14:paraId="060F5043" w14:textId="769FD933" w:rsidR="009A3EE7" w:rsidRPr="001F6D36" w:rsidRDefault="009A3EE7" w:rsidP="009A3EE7">
      <w:pPr>
        <w:widowControl/>
        <w:autoSpaceDE/>
        <w:autoSpaceDN/>
        <w:ind w:firstLine="709"/>
        <w:jc w:val="both"/>
        <w:rPr>
          <w:rFonts w:eastAsia="Calibri"/>
          <w:sz w:val="28"/>
          <w:szCs w:val="28"/>
        </w:rPr>
      </w:pPr>
      <w:r w:rsidRPr="001F6D36">
        <w:rPr>
          <w:rFonts w:eastAsia="Calibri"/>
          <w:b/>
          <w:sz w:val="28"/>
          <w:szCs w:val="28"/>
        </w:rPr>
        <w:t>Метою діяльності</w:t>
      </w:r>
      <w:r w:rsidRPr="001F6D36">
        <w:rPr>
          <w:rFonts w:eastAsia="Calibri"/>
          <w:sz w:val="28"/>
          <w:szCs w:val="28"/>
        </w:rPr>
        <w:t xml:space="preserve"> Підприємства є вжиття заходів щодо забезпечення  ефективності користування радіочастотним спектром в інтересах усіх категорій та груп користувачів, здійснення радіочастотного моніторингу у смугах радіочастот загального користування, забезпечення електромагнітної сумісності радіообладнання</w:t>
      </w:r>
      <w:r w:rsidR="00C50F8F">
        <w:rPr>
          <w:rFonts w:eastAsia="Calibri"/>
          <w:sz w:val="28"/>
          <w:szCs w:val="28"/>
        </w:rPr>
        <w:t xml:space="preserve"> </w:t>
      </w:r>
      <w:r w:rsidRPr="001F6D36">
        <w:rPr>
          <w:rFonts w:eastAsia="Calibri"/>
          <w:sz w:val="28"/>
          <w:szCs w:val="28"/>
        </w:rPr>
        <w:t>та випромінювальних пристроїв, проведення моніторингу якості надання електронних комунікаційних послуг.</w:t>
      </w:r>
    </w:p>
    <w:p w14:paraId="1486C354" w14:textId="686E3958" w:rsidR="00EA5DF3" w:rsidRPr="00EA5DF3" w:rsidRDefault="00EA5DF3" w:rsidP="00EA5DF3">
      <w:pPr>
        <w:widowControl/>
        <w:autoSpaceDE/>
        <w:autoSpaceDN/>
        <w:ind w:firstLine="709"/>
        <w:jc w:val="both"/>
        <w:rPr>
          <w:rFonts w:eastAsia="Calibri"/>
          <w:sz w:val="28"/>
          <w:szCs w:val="28"/>
        </w:rPr>
      </w:pPr>
      <w:r w:rsidRPr="001F6D36">
        <w:rPr>
          <w:rFonts w:eastAsia="Calibri"/>
          <w:b/>
          <w:sz w:val="28"/>
          <w:szCs w:val="28"/>
        </w:rPr>
        <w:t>Основні види економічної діяльності</w:t>
      </w:r>
      <w:r w:rsidRPr="001F6D36">
        <w:rPr>
          <w:rFonts w:eastAsia="Calibri"/>
          <w:sz w:val="28"/>
          <w:szCs w:val="28"/>
        </w:rPr>
        <w:t xml:space="preserve">: </w:t>
      </w:r>
      <w:r w:rsidR="00D25489" w:rsidRPr="001F6D36">
        <w:rPr>
          <w:rFonts w:eastAsia="Calibri"/>
          <w:sz w:val="28"/>
          <w:szCs w:val="28"/>
        </w:rPr>
        <w:t>діяльність у сфері супутникового</w:t>
      </w:r>
      <w:r w:rsidR="00D25489" w:rsidRPr="00EA5DF3">
        <w:rPr>
          <w:rFonts w:eastAsia="Calibri"/>
          <w:sz w:val="28"/>
          <w:szCs w:val="28"/>
        </w:rPr>
        <w:t xml:space="preserve"> електрозв’язку; діяльність у сфері </w:t>
      </w:r>
      <w:proofErr w:type="spellStart"/>
      <w:r w:rsidR="00D25489" w:rsidRPr="00EA5DF3">
        <w:rPr>
          <w:rFonts w:eastAsia="Calibri"/>
          <w:sz w:val="28"/>
          <w:szCs w:val="28"/>
        </w:rPr>
        <w:t>безпроводового</w:t>
      </w:r>
      <w:proofErr w:type="spellEnd"/>
      <w:r w:rsidR="00D25489" w:rsidRPr="00EA5DF3">
        <w:rPr>
          <w:rFonts w:eastAsia="Calibri"/>
          <w:sz w:val="28"/>
          <w:szCs w:val="28"/>
        </w:rPr>
        <w:t xml:space="preserve"> електрозв’язку</w:t>
      </w:r>
      <w:r w:rsidR="00FA71A9">
        <w:rPr>
          <w:rFonts w:eastAsia="Calibri"/>
          <w:sz w:val="28"/>
          <w:szCs w:val="28"/>
        </w:rPr>
        <w:t>;</w:t>
      </w:r>
      <w:r w:rsidR="00D25489" w:rsidRPr="00EA5DF3">
        <w:rPr>
          <w:rFonts w:eastAsia="Calibri"/>
          <w:sz w:val="28"/>
          <w:szCs w:val="28"/>
        </w:rPr>
        <w:t xml:space="preserve"> </w:t>
      </w:r>
      <w:r w:rsidRPr="00EA5DF3">
        <w:rPr>
          <w:rFonts w:eastAsia="Calibri"/>
          <w:sz w:val="28"/>
          <w:szCs w:val="28"/>
        </w:rPr>
        <w:t xml:space="preserve">діяльність у сфері </w:t>
      </w:r>
      <w:proofErr w:type="spellStart"/>
      <w:r w:rsidRPr="00EA5DF3">
        <w:rPr>
          <w:rFonts w:eastAsia="Calibri"/>
          <w:sz w:val="28"/>
          <w:szCs w:val="28"/>
        </w:rPr>
        <w:t>проводового</w:t>
      </w:r>
      <w:proofErr w:type="spellEnd"/>
      <w:r w:rsidRPr="00EA5DF3">
        <w:rPr>
          <w:rFonts w:eastAsia="Calibri"/>
          <w:sz w:val="28"/>
          <w:szCs w:val="28"/>
        </w:rPr>
        <w:t xml:space="preserve"> електрозв’язку; технічні випробування та дослідження; діяльність у сфері ін</w:t>
      </w:r>
      <w:r w:rsidR="00FA71A9">
        <w:rPr>
          <w:rFonts w:eastAsia="Calibri"/>
          <w:sz w:val="28"/>
          <w:szCs w:val="28"/>
        </w:rPr>
        <w:t>жинірингу, геології та геодезії;</w:t>
      </w:r>
      <w:r w:rsidRPr="00EA5DF3">
        <w:rPr>
          <w:rFonts w:eastAsia="Calibri"/>
          <w:sz w:val="28"/>
          <w:szCs w:val="28"/>
        </w:rPr>
        <w:t xml:space="preserve"> надання послуг технічного консультування у цих сферах; інша діяльність у сферах електрозв’язку.</w:t>
      </w:r>
    </w:p>
    <w:p w14:paraId="11002EB5" w14:textId="77777777" w:rsidR="00EA5DF3" w:rsidRPr="00EA5DF3" w:rsidRDefault="00EA5DF3" w:rsidP="00EA5DF3">
      <w:pPr>
        <w:widowControl/>
        <w:autoSpaceDE/>
        <w:autoSpaceDN/>
        <w:ind w:firstLine="709"/>
        <w:jc w:val="both"/>
        <w:rPr>
          <w:rFonts w:eastAsia="Calibri"/>
          <w:sz w:val="28"/>
          <w:szCs w:val="28"/>
        </w:rPr>
      </w:pPr>
      <w:r w:rsidRPr="00EA5DF3">
        <w:rPr>
          <w:rFonts w:eastAsia="Calibri"/>
          <w:sz w:val="28"/>
          <w:szCs w:val="28"/>
        </w:rPr>
        <w:t>В межах основних видів економічної діяльності Підприємство надає послуги за такими основними напрямами:</w:t>
      </w:r>
    </w:p>
    <w:p w14:paraId="4F0C8A47" w14:textId="77777777" w:rsidR="00EA5DF3" w:rsidRPr="00EA5DF3" w:rsidRDefault="00EA5DF3" w:rsidP="00EA5DF3">
      <w:pPr>
        <w:widowControl/>
        <w:autoSpaceDE/>
        <w:autoSpaceDN/>
        <w:ind w:firstLine="709"/>
        <w:jc w:val="both"/>
        <w:rPr>
          <w:rFonts w:eastAsia="Calibri"/>
          <w:sz w:val="28"/>
          <w:szCs w:val="28"/>
        </w:rPr>
      </w:pPr>
      <w:r w:rsidRPr="00EA5DF3">
        <w:rPr>
          <w:rFonts w:eastAsia="Calibri"/>
          <w:sz w:val="28"/>
          <w:szCs w:val="28"/>
        </w:rPr>
        <w:t>здійснення присвоєння радіочастот для радіообладнання та випромінювальних пристроїв;</w:t>
      </w:r>
    </w:p>
    <w:p w14:paraId="2F21AC4C" w14:textId="77777777" w:rsidR="00EA5DF3" w:rsidRPr="00EA5DF3" w:rsidRDefault="00EA5DF3" w:rsidP="00EA5DF3">
      <w:pPr>
        <w:widowControl/>
        <w:autoSpaceDE/>
        <w:autoSpaceDN/>
        <w:ind w:firstLine="709"/>
        <w:jc w:val="both"/>
        <w:rPr>
          <w:rFonts w:eastAsia="Calibri"/>
          <w:bCs/>
          <w:sz w:val="28"/>
          <w:szCs w:val="28"/>
        </w:rPr>
      </w:pPr>
      <w:r w:rsidRPr="00EA5DF3">
        <w:rPr>
          <w:rFonts w:eastAsia="Calibri"/>
          <w:bCs/>
          <w:sz w:val="28"/>
          <w:szCs w:val="28"/>
        </w:rPr>
        <w:t>здійснення радіочастотного моніторингу користування радіочастотним спектром загальними користувачами;</w:t>
      </w:r>
    </w:p>
    <w:p w14:paraId="39DBA5AB" w14:textId="77777777" w:rsidR="00EA5DF3" w:rsidRPr="00EA5DF3" w:rsidRDefault="00EA5DF3" w:rsidP="00EA5DF3">
      <w:pPr>
        <w:widowControl/>
        <w:autoSpaceDE/>
        <w:autoSpaceDN/>
        <w:ind w:firstLine="709"/>
        <w:jc w:val="both"/>
        <w:rPr>
          <w:rFonts w:eastAsia="Calibri"/>
          <w:bCs/>
          <w:sz w:val="28"/>
          <w:szCs w:val="28"/>
        </w:rPr>
      </w:pPr>
      <w:r w:rsidRPr="00EA5DF3">
        <w:rPr>
          <w:rFonts w:eastAsia="Calibri"/>
          <w:bCs/>
          <w:sz w:val="28"/>
          <w:szCs w:val="28"/>
        </w:rPr>
        <w:t>проведення розрахунків електромагнітної сумісності, визначення умов електромагнітної сумісності, виконання відповідних погоджень і міжнародної координації заявлених присвоєнь радіочастот, надання розрахунків електромагнітної сумісності для загальних користувачів;</w:t>
      </w:r>
    </w:p>
    <w:p w14:paraId="3A6F6498" w14:textId="77777777" w:rsidR="00EA5DF3" w:rsidRPr="00EA5DF3" w:rsidRDefault="00EA5DF3" w:rsidP="00EA5DF3">
      <w:pPr>
        <w:widowControl/>
        <w:autoSpaceDE/>
        <w:autoSpaceDN/>
        <w:ind w:firstLine="709"/>
        <w:jc w:val="both"/>
        <w:rPr>
          <w:rFonts w:eastAsia="Calibri"/>
          <w:bCs/>
          <w:sz w:val="28"/>
          <w:szCs w:val="28"/>
        </w:rPr>
      </w:pPr>
      <w:r w:rsidRPr="00EA5DF3">
        <w:rPr>
          <w:rFonts w:eastAsia="Calibri"/>
          <w:bCs/>
          <w:sz w:val="28"/>
          <w:szCs w:val="28"/>
        </w:rPr>
        <w:t xml:space="preserve">здійснення моніторингу </w:t>
      </w:r>
      <w:bookmarkStart w:id="0" w:name="_Hlk130655960"/>
      <w:r w:rsidRPr="00EA5DF3">
        <w:rPr>
          <w:rFonts w:eastAsia="Calibri"/>
          <w:bCs/>
          <w:sz w:val="28"/>
          <w:szCs w:val="28"/>
        </w:rPr>
        <w:t>якості електронних комунікаційних послуг</w:t>
      </w:r>
      <w:bookmarkEnd w:id="0"/>
      <w:r w:rsidRPr="00EA5DF3">
        <w:rPr>
          <w:rFonts w:eastAsia="Calibri"/>
          <w:bCs/>
          <w:sz w:val="28"/>
          <w:szCs w:val="28"/>
        </w:rPr>
        <w:t>;</w:t>
      </w:r>
    </w:p>
    <w:p w14:paraId="5E72DC08" w14:textId="77777777" w:rsidR="00EA5DF3" w:rsidRPr="00EA5DF3" w:rsidRDefault="00EA5DF3" w:rsidP="00EA5DF3">
      <w:pPr>
        <w:widowControl/>
        <w:autoSpaceDE/>
        <w:autoSpaceDN/>
        <w:ind w:firstLine="709"/>
        <w:jc w:val="both"/>
        <w:rPr>
          <w:rFonts w:eastAsia="Calibri"/>
          <w:bCs/>
          <w:sz w:val="28"/>
          <w:szCs w:val="28"/>
        </w:rPr>
      </w:pPr>
      <w:r w:rsidRPr="00EA5DF3">
        <w:rPr>
          <w:rFonts w:eastAsia="Calibri"/>
          <w:bCs/>
          <w:sz w:val="28"/>
          <w:szCs w:val="28"/>
        </w:rPr>
        <w:t xml:space="preserve">здійснення заходів щодо виявлення джерел </w:t>
      </w:r>
      <w:proofErr w:type="spellStart"/>
      <w:r w:rsidRPr="00EA5DF3">
        <w:rPr>
          <w:rFonts w:eastAsia="Calibri"/>
          <w:bCs/>
          <w:sz w:val="28"/>
          <w:szCs w:val="28"/>
        </w:rPr>
        <w:t>радіозавад</w:t>
      </w:r>
      <w:proofErr w:type="spellEnd"/>
      <w:r w:rsidRPr="00EA5DF3">
        <w:rPr>
          <w:rFonts w:eastAsia="Calibri"/>
          <w:bCs/>
          <w:sz w:val="28"/>
          <w:szCs w:val="28"/>
        </w:rPr>
        <w:t>;</w:t>
      </w:r>
    </w:p>
    <w:p w14:paraId="776FFD50" w14:textId="77777777" w:rsidR="00EA5DF3" w:rsidRPr="00EA5DF3" w:rsidRDefault="00EA5DF3" w:rsidP="00EA5DF3">
      <w:pPr>
        <w:widowControl/>
        <w:autoSpaceDE/>
        <w:autoSpaceDN/>
        <w:ind w:firstLine="709"/>
        <w:jc w:val="both"/>
        <w:rPr>
          <w:rFonts w:eastAsia="Calibri"/>
          <w:bCs/>
          <w:sz w:val="28"/>
          <w:szCs w:val="28"/>
        </w:rPr>
      </w:pPr>
      <w:r w:rsidRPr="00EA5DF3">
        <w:rPr>
          <w:rFonts w:eastAsia="Calibri"/>
          <w:bCs/>
          <w:sz w:val="28"/>
          <w:szCs w:val="28"/>
        </w:rPr>
        <w:t>здійснення централізованого технічного адміністрування персональних номерів та перенесених абонентських номерів;</w:t>
      </w:r>
    </w:p>
    <w:p w14:paraId="1E55E12C" w14:textId="77777777" w:rsidR="00EA5DF3" w:rsidRPr="00EA5DF3" w:rsidRDefault="00EA5DF3" w:rsidP="00EA5DF3">
      <w:pPr>
        <w:widowControl/>
        <w:autoSpaceDE/>
        <w:autoSpaceDN/>
        <w:ind w:firstLine="709"/>
        <w:jc w:val="both"/>
        <w:rPr>
          <w:rFonts w:eastAsia="Calibri"/>
          <w:bCs/>
          <w:sz w:val="28"/>
          <w:szCs w:val="28"/>
        </w:rPr>
      </w:pPr>
      <w:r w:rsidRPr="00EA5DF3">
        <w:rPr>
          <w:rFonts w:eastAsia="Calibri"/>
          <w:bCs/>
          <w:sz w:val="28"/>
          <w:szCs w:val="28"/>
        </w:rPr>
        <w:t>здійснення діяльності за іншими напрям</w:t>
      </w:r>
      <w:r w:rsidR="000E294A">
        <w:rPr>
          <w:rFonts w:eastAsia="Calibri"/>
          <w:bCs/>
          <w:sz w:val="28"/>
          <w:szCs w:val="28"/>
        </w:rPr>
        <w:t>ами</w:t>
      </w:r>
      <w:r w:rsidRPr="00EA5DF3">
        <w:rPr>
          <w:rFonts w:eastAsia="Calibri"/>
          <w:bCs/>
          <w:sz w:val="28"/>
          <w:szCs w:val="28"/>
        </w:rPr>
        <w:t xml:space="preserve"> відповідно до завдань, покладених на </w:t>
      </w:r>
      <w:r w:rsidR="00D25489">
        <w:rPr>
          <w:rFonts w:eastAsia="Calibri"/>
          <w:bCs/>
          <w:sz w:val="28"/>
          <w:szCs w:val="28"/>
        </w:rPr>
        <w:t>П</w:t>
      </w:r>
      <w:r w:rsidRPr="00EA5DF3">
        <w:rPr>
          <w:rFonts w:eastAsia="Calibri"/>
          <w:bCs/>
          <w:sz w:val="28"/>
          <w:szCs w:val="28"/>
        </w:rPr>
        <w:t>ідприємство.</w:t>
      </w:r>
    </w:p>
    <w:p w14:paraId="5FAC193E" w14:textId="77777777" w:rsidR="00EA5DF3" w:rsidRPr="00EA5DF3" w:rsidRDefault="00EA5DF3" w:rsidP="00EA5DF3">
      <w:pPr>
        <w:widowControl/>
        <w:tabs>
          <w:tab w:val="left" w:pos="1276"/>
        </w:tabs>
        <w:autoSpaceDE/>
        <w:autoSpaceDN/>
        <w:ind w:firstLine="709"/>
        <w:jc w:val="both"/>
        <w:rPr>
          <w:rFonts w:eastAsia="Calibri"/>
          <w:strike/>
          <w:sz w:val="28"/>
          <w:szCs w:val="28"/>
        </w:rPr>
      </w:pPr>
      <w:r w:rsidRPr="00EA5DF3">
        <w:rPr>
          <w:rFonts w:eastAsia="Calibri"/>
          <w:sz w:val="28"/>
          <w:szCs w:val="28"/>
        </w:rPr>
        <w:lastRenderedPageBreak/>
        <w:t xml:space="preserve">З урахуванням завдань, покладених на підприємство, Державне підприємство «Український державний центр радіочастот» включене до переліку об’єктів, що мають </w:t>
      </w:r>
      <w:r w:rsidRPr="000D0342">
        <w:rPr>
          <w:rFonts w:eastAsia="Calibri"/>
          <w:b/>
          <w:sz w:val="28"/>
          <w:szCs w:val="28"/>
        </w:rPr>
        <w:t>стратегічне</w:t>
      </w:r>
      <w:r w:rsidRPr="00EA5DF3">
        <w:rPr>
          <w:rFonts w:eastAsia="Calibri"/>
          <w:sz w:val="28"/>
          <w:szCs w:val="28"/>
        </w:rPr>
        <w:t xml:space="preserve"> значення для економіки та безпеки держави.</w:t>
      </w:r>
    </w:p>
    <w:p w14:paraId="7F2DC352" w14:textId="77777777" w:rsidR="00EA5DF3" w:rsidRPr="009A3EE7" w:rsidRDefault="009A3EE7" w:rsidP="009A3EE7">
      <w:pPr>
        <w:widowControl/>
        <w:tabs>
          <w:tab w:val="left" w:pos="1276"/>
        </w:tabs>
        <w:autoSpaceDE/>
        <w:autoSpaceDN/>
        <w:ind w:firstLine="709"/>
        <w:jc w:val="both"/>
        <w:rPr>
          <w:rFonts w:eastAsia="Calibri"/>
          <w:sz w:val="28"/>
          <w:szCs w:val="28"/>
        </w:rPr>
      </w:pPr>
      <w:r w:rsidRPr="00654368">
        <w:rPr>
          <w:rFonts w:eastAsia="Calibri"/>
          <w:b/>
          <w:sz w:val="28"/>
          <w:szCs w:val="28"/>
        </w:rPr>
        <w:t>Ціллю</w:t>
      </w:r>
      <w:r w:rsidRPr="00654368">
        <w:rPr>
          <w:rFonts w:eastAsia="Calibri"/>
          <w:sz w:val="28"/>
          <w:szCs w:val="28"/>
        </w:rPr>
        <w:t xml:space="preserve"> Підприємства є здійсн</w:t>
      </w:r>
      <w:r w:rsidR="00897C38" w:rsidRPr="00654368">
        <w:rPr>
          <w:rFonts w:eastAsia="Calibri"/>
          <w:sz w:val="28"/>
          <w:szCs w:val="28"/>
        </w:rPr>
        <w:t>ення</w:t>
      </w:r>
      <w:r w:rsidRPr="00654368">
        <w:rPr>
          <w:rFonts w:eastAsia="Calibri"/>
          <w:sz w:val="28"/>
          <w:szCs w:val="28"/>
        </w:rPr>
        <w:t xml:space="preserve"> діяльн</w:t>
      </w:r>
      <w:r w:rsidR="00897C38" w:rsidRPr="00654368">
        <w:rPr>
          <w:rFonts w:eastAsia="Calibri"/>
          <w:sz w:val="28"/>
          <w:szCs w:val="28"/>
        </w:rPr>
        <w:t>ості</w:t>
      </w:r>
      <w:r w:rsidRPr="00654368">
        <w:rPr>
          <w:rFonts w:eastAsia="Calibri"/>
          <w:sz w:val="28"/>
          <w:szCs w:val="28"/>
        </w:rPr>
        <w:t xml:space="preserve"> у вказаних </w:t>
      </w:r>
      <w:r w:rsidRPr="009A3EE7">
        <w:rPr>
          <w:rFonts w:eastAsia="Calibri"/>
          <w:sz w:val="28"/>
          <w:szCs w:val="28"/>
        </w:rPr>
        <w:t>напрямах без суттєвого відхилення від них</w:t>
      </w:r>
      <w:r>
        <w:rPr>
          <w:rFonts w:eastAsia="Calibri"/>
          <w:sz w:val="28"/>
          <w:szCs w:val="28"/>
        </w:rPr>
        <w:t>.</w:t>
      </w:r>
    </w:p>
    <w:p w14:paraId="19AB23B1" w14:textId="77777777" w:rsidR="00FE3764" w:rsidRPr="003C0563" w:rsidRDefault="003D4C11" w:rsidP="003C0563">
      <w:pPr>
        <w:pStyle w:val="2"/>
        <w:jc w:val="center"/>
        <w:rPr>
          <w:sz w:val="28"/>
          <w:szCs w:val="28"/>
        </w:rPr>
      </w:pPr>
      <w:r w:rsidRPr="003C0563">
        <w:rPr>
          <w:sz w:val="28"/>
          <w:szCs w:val="28"/>
        </w:rPr>
        <w:t>Фінансові</w:t>
      </w:r>
      <w:r w:rsidRPr="003C0563">
        <w:rPr>
          <w:spacing w:val="-1"/>
          <w:sz w:val="28"/>
          <w:szCs w:val="28"/>
        </w:rPr>
        <w:t xml:space="preserve"> </w:t>
      </w:r>
      <w:r w:rsidRPr="003C0563">
        <w:rPr>
          <w:sz w:val="28"/>
          <w:szCs w:val="28"/>
        </w:rPr>
        <w:t>цілі</w:t>
      </w:r>
      <w:r w:rsidRPr="003C0563">
        <w:rPr>
          <w:spacing w:val="-2"/>
          <w:sz w:val="28"/>
          <w:szCs w:val="28"/>
        </w:rPr>
        <w:t xml:space="preserve"> </w:t>
      </w:r>
      <w:r w:rsidRPr="003C0563">
        <w:rPr>
          <w:sz w:val="28"/>
          <w:szCs w:val="28"/>
        </w:rPr>
        <w:t>діяльності</w:t>
      </w:r>
      <w:r w:rsidRPr="003C0563">
        <w:rPr>
          <w:spacing w:val="-1"/>
          <w:sz w:val="28"/>
          <w:szCs w:val="28"/>
        </w:rPr>
        <w:t xml:space="preserve"> </w:t>
      </w:r>
      <w:r w:rsidRPr="003C0563">
        <w:rPr>
          <w:sz w:val="28"/>
          <w:szCs w:val="28"/>
        </w:rPr>
        <w:t>Підприємства</w:t>
      </w:r>
    </w:p>
    <w:p w14:paraId="5584FD5D" w14:textId="14836BF4" w:rsidR="009A3EE7" w:rsidRDefault="009A3EE7" w:rsidP="00A935C3">
      <w:pPr>
        <w:spacing w:before="120"/>
        <w:ind w:firstLine="709"/>
        <w:jc w:val="both"/>
        <w:rPr>
          <w:sz w:val="28"/>
          <w:szCs w:val="28"/>
        </w:rPr>
      </w:pPr>
      <w:r w:rsidRPr="00CB4D08">
        <w:rPr>
          <w:sz w:val="28"/>
          <w:szCs w:val="28"/>
        </w:rPr>
        <w:t>Фінансов</w:t>
      </w:r>
      <w:r w:rsidR="00897C38">
        <w:rPr>
          <w:sz w:val="28"/>
          <w:szCs w:val="28"/>
        </w:rPr>
        <w:t>ими</w:t>
      </w:r>
      <w:r w:rsidRPr="00CB4D08">
        <w:rPr>
          <w:sz w:val="28"/>
          <w:szCs w:val="28"/>
        </w:rPr>
        <w:t xml:space="preserve"> ціл</w:t>
      </w:r>
      <w:r w:rsidR="00897C38">
        <w:rPr>
          <w:sz w:val="28"/>
          <w:szCs w:val="28"/>
        </w:rPr>
        <w:t>ями</w:t>
      </w:r>
      <w:r w:rsidRPr="00CB4D08">
        <w:rPr>
          <w:sz w:val="28"/>
          <w:szCs w:val="28"/>
        </w:rPr>
        <w:t xml:space="preserve"> </w:t>
      </w:r>
      <w:r w:rsidR="00C50F8F">
        <w:rPr>
          <w:sz w:val="28"/>
          <w:szCs w:val="28"/>
        </w:rPr>
        <w:t xml:space="preserve">УДЦР </w:t>
      </w:r>
      <w:r w:rsidR="00897C38">
        <w:rPr>
          <w:sz w:val="28"/>
          <w:szCs w:val="28"/>
        </w:rPr>
        <w:t xml:space="preserve">є </w:t>
      </w:r>
      <w:r w:rsidRPr="00CB4D08">
        <w:rPr>
          <w:sz w:val="28"/>
          <w:szCs w:val="28"/>
        </w:rPr>
        <w:t>забезпечення фінансової стійкості Підприємства, ефективн</w:t>
      </w:r>
      <w:r w:rsidR="00897C38">
        <w:rPr>
          <w:sz w:val="28"/>
          <w:szCs w:val="28"/>
        </w:rPr>
        <w:t>е</w:t>
      </w:r>
      <w:r w:rsidRPr="00CB4D08">
        <w:rPr>
          <w:sz w:val="28"/>
          <w:szCs w:val="28"/>
        </w:rPr>
        <w:t xml:space="preserve"> використання капіталу Підприємства, здатн</w:t>
      </w:r>
      <w:r w:rsidR="00897C38">
        <w:rPr>
          <w:sz w:val="28"/>
          <w:szCs w:val="28"/>
        </w:rPr>
        <w:t>ість</w:t>
      </w:r>
      <w:r w:rsidRPr="00CB4D08">
        <w:rPr>
          <w:sz w:val="28"/>
          <w:szCs w:val="28"/>
        </w:rPr>
        <w:t xml:space="preserve"> Підприємства виконувати свої зобов’язання за рахунок власного майна, зростання прибутковості та розміру виплат на користь держави.</w:t>
      </w:r>
    </w:p>
    <w:p w14:paraId="69F8BE3C" w14:textId="77777777" w:rsidR="00EB6943" w:rsidRDefault="00EB6943" w:rsidP="003A5A9D">
      <w:pPr>
        <w:ind w:firstLine="709"/>
        <w:jc w:val="both"/>
        <w:rPr>
          <w:sz w:val="28"/>
          <w:szCs w:val="28"/>
        </w:rPr>
      </w:pPr>
      <w:r>
        <w:rPr>
          <w:sz w:val="28"/>
          <w:szCs w:val="28"/>
        </w:rPr>
        <w:t>Основним показник</w:t>
      </w:r>
      <w:r w:rsidR="00860F28">
        <w:rPr>
          <w:sz w:val="28"/>
          <w:szCs w:val="28"/>
        </w:rPr>
        <w:t>ом</w:t>
      </w:r>
      <w:r>
        <w:rPr>
          <w:sz w:val="28"/>
          <w:szCs w:val="28"/>
        </w:rPr>
        <w:t xml:space="preserve"> фінансових результатів діяльності Підприємства є прибуток.</w:t>
      </w:r>
    </w:p>
    <w:p w14:paraId="06A701C1" w14:textId="76325522" w:rsidR="00EB6943" w:rsidRDefault="00EB6943" w:rsidP="003A5A9D">
      <w:pPr>
        <w:ind w:firstLine="709"/>
        <w:jc w:val="both"/>
        <w:rPr>
          <w:sz w:val="28"/>
          <w:szCs w:val="28"/>
        </w:rPr>
      </w:pPr>
      <w:r>
        <w:rPr>
          <w:sz w:val="28"/>
          <w:szCs w:val="28"/>
        </w:rPr>
        <w:t>Прибуток Підприємства формується за рахунок надходжень від провадження господарської діяльності після покриття матеріальних та прирівняних до них витрат, витрат на оплату праці, амортизаційних відрахувань</w:t>
      </w:r>
      <w:r w:rsidR="00814B88">
        <w:rPr>
          <w:sz w:val="28"/>
          <w:szCs w:val="28"/>
        </w:rPr>
        <w:t>,</w:t>
      </w:r>
      <w:r>
        <w:rPr>
          <w:sz w:val="28"/>
          <w:szCs w:val="28"/>
        </w:rPr>
        <w:t xml:space="preserve"> залишається у повному його розпорядженн</w:t>
      </w:r>
      <w:r w:rsidR="00FF2FE4">
        <w:rPr>
          <w:sz w:val="28"/>
          <w:szCs w:val="28"/>
        </w:rPr>
        <w:t>і</w:t>
      </w:r>
      <w:r>
        <w:rPr>
          <w:sz w:val="28"/>
          <w:szCs w:val="28"/>
        </w:rPr>
        <w:t xml:space="preserve"> та використовується відповідно до законодавства.</w:t>
      </w:r>
    </w:p>
    <w:p w14:paraId="4FFB098D" w14:textId="77777777" w:rsidR="003A5A9D" w:rsidRPr="00B856E9" w:rsidRDefault="003A5A9D" w:rsidP="003A5A9D">
      <w:pPr>
        <w:ind w:firstLine="709"/>
        <w:jc w:val="both"/>
        <w:rPr>
          <w:sz w:val="28"/>
          <w:szCs w:val="28"/>
        </w:rPr>
      </w:pPr>
      <w:r>
        <w:rPr>
          <w:sz w:val="28"/>
          <w:szCs w:val="28"/>
        </w:rPr>
        <w:t>О</w:t>
      </w:r>
      <w:r w:rsidRPr="00B856E9">
        <w:rPr>
          <w:sz w:val="28"/>
          <w:szCs w:val="28"/>
        </w:rPr>
        <w:t xml:space="preserve">сновними </w:t>
      </w:r>
      <w:r w:rsidR="00EB6943">
        <w:rPr>
          <w:sz w:val="28"/>
          <w:szCs w:val="28"/>
        </w:rPr>
        <w:t xml:space="preserve">надходженнями </w:t>
      </w:r>
      <w:r w:rsidRPr="00B856E9">
        <w:rPr>
          <w:sz w:val="28"/>
          <w:szCs w:val="28"/>
        </w:rPr>
        <w:t>УДЦР є доходи за виконання робіт (послуг), передбачених статтею 45 Закону України «Про електронні комунікації», згідно Тарифів на роботи (послуги) Державного підприємства «Український державний центр радіочастот», затверджених рішенням Національної комісії, що здійснює державне регулювання у сфері зв’язку та інформатизації, від 17.08.2021 № 302 зареєстрованих у Міністерстві юстиції України 03.09.2021 за № 1160/36782 (із змінами).</w:t>
      </w:r>
    </w:p>
    <w:p w14:paraId="6CAA4827" w14:textId="10D12F7C" w:rsidR="000F3C88" w:rsidRDefault="000F3C88" w:rsidP="000F3C88">
      <w:pPr>
        <w:widowControl/>
        <w:tabs>
          <w:tab w:val="left" w:pos="2205"/>
        </w:tabs>
        <w:autoSpaceDE/>
        <w:autoSpaceDN/>
        <w:ind w:firstLine="709"/>
        <w:jc w:val="both"/>
        <w:rPr>
          <w:rFonts w:eastAsia="Calibri"/>
          <w:sz w:val="28"/>
          <w:szCs w:val="28"/>
        </w:rPr>
      </w:pPr>
      <w:r w:rsidRPr="000F3C88">
        <w:rPr>
          <w:rFonts w:eastAsia="Calibri"/>
          <w:sz w:val="28"/>
          <w:szCs w:val="28"/>
        </w:rPr>
        <w:t xml:space="preserve">Перелік робіт та послуг, що виконуються Підприємством, а також тарифи на них встановлюються </w:t>
      </w:r>
      <w:r w:rsidR="00C50F8F">
        <w:rPr>
          <w:rFonts w:eastAsia="Calibri"/>
          <w:sz w:val="28"/>
          <w:szCs w:val="28"/>
        </w:rPr>
        <w:t>НКЕК</w:t>
      </w:r>
      <w:r w:rsidRPr="000F3C88">
        <w:rPr>
          <w:rFonts w:eastAsia="Calibri"/>
          <w:sz w:val="28"/>
          <w:szCs w:val="28"/>
        </w:rPr>
        <w:t xml:space="preserve">. </w:t>
      </w:r>
    </w:p>
    <w:p w14:paraId="5B9EE984" w14:textId="77777777" w:rsidR="009A3EE7" w:rsidRDefault="000E294A" w:rsidP="000F3C88">
      <w:pPr>
        <w:widowControl/>
        <w:tabs>
          <w:tab w:val="left" w:pos="2205"/>
        </w:tabs>
        <w:autoSpaceDE/>
        <w:autoSpaceDN/>
        <w:ind w:firstLine="709"/>
        <w:jc w:val="both"/>
        <w:rPr>
          <w:rFonts w:eastAsia="Calibri"/>
          <w:sz w:val="28"/>
          <w:szCs w:val="28"/>
        </w:rPr>
      </w:pPr>
      <w:r>
        <w:rPr>
          <w:rFonts w:eastAsia="Calibri"/>
          <w:sz w:val="28"/>
          <w:szCs w:val="28"/>
        </w:rPr>
        <w:t>Основні фінансові цілі Підприємства визначені наступними</w:t>
      </w:r>
      <w:r w:rsidR="004F229C">
        <w:rPr>
          <w:rFonts w:eastAsia="Calibri"/>
          <w:sz w:val="28"/>
          <w:szCs w:val="28"/>
        </w:rPr>
        <w:t xml:space="preserve"> фінансов</w:t>
      </w:r>
      <w:r>
        <w:rPr>
          <w:rFonts w:eastAsia="Calibri"/>
          <w:sz w:val="28"/>
          <w:szCs w:val="28"/>
        </w:rPr>
        <w:t>ими</w:t>
      </w:r>
      <w:r w:rsidR="004F229C">
        <w:rPr>
          <w:rFonts w:eastAsia="Calibri"/>
          <w:sz w:val="28"/>
          <w:szCs w:val="28"/>
        </w:rPr>
        <w:t xml:space="preserve"> показник</w:t>
      </w:r>
      <w:r>
        <w:rPr>
          <w:rFonts w:eastAsia="Calibri"/>
          <w:sz w:val="28"/>
          <w:szCs w:val="28"/>
        </w:rPr>
        <w:t>ами</w:t>
      </w:r>
      <w:r w:rsidR="004F229C">
        <w:rPr>
          <w:rFonts w:eastAsia="Calibri"/>
          <w:sz w:val="28"/>
          <w:szCs w:val="28"/>
        </w:rPr>
        <w:t>:</w:t>
      </w:r>
    </w:p>
    <w:p w14:paraId="7A7155C6" w14:textId="77777777" w:rsidR="004F229C" w:rsidRDefault="004F229C" w:rsidP="00677015">
      <w:pPr>
        <w:pStyle w:val="a5"/>
        <w:widowControl/>
        <w:numPr>
          <w:ilvl w:val="0"/>
          <w:numId w:val="2"/>
        </w:numPr>
        <w:tabs>
          <w:tab w:val="left" w:pos="2205"/>
        </w:tabs>
        <w:autoSpaceDE/>
        <w:autoSpaceDN/>
        <w:rPr>
          <w:rFonts w:eastAsia="Calibri"/>
          <w:sz w:val="28"/>
          <w:szCs w:val="28"/>
        </w:rPr>
      </w:pPr>
      <w:r w:rsidRPr="00B3605A">
        <w:rPr>
          <w:rFonts w:eastAsia="Calibri"/>
          <w:sz w:val="28"/>
          <w:szCs w:val="28"/>
        </w:rPr>
        <w:t xml:space="preserve">Показник рентабельності: коефіцієнт рентабельності </w:t>
      </w:r>
      <w:r w:rsidR="00677015" w:rsidRPr="00677015">
        <w:rPr>
          <w:rFonts w:eastAsia="Calibri"/>
          <w:sz w:val="28"/>
          <w:szCs w:val="28"/>
        </w:rPr>
        <w:t>власного капіталу</w:t>
      </w:r>
      <w:r w:rsidR="00B3605A">
        <w:rPr>
          <w:rFonts w:eastAsia="Calibri"/>
          <w:sz w:val="28"/>
          <w:szCs w:val="28"/>
        </w:rPr>
        <w:t>;</w:t>
      </w:r>
    </w:p>
    <w:p w14:paraId="68F4918D" w14:textId="77777777" w:rsidR="00B3605A" w:rsidRDefault="00B3605A" w:rsidP="00B3605A">
      <w:pPr>
        <w:pStyle w:val="a5"/>
        <w:widowControl/>
        <w:numPr>
          <w:ilvl w:val="0"/>
          <w:numId w:val="2"/>
        </w:numPr>
        <w:tabs>
          <w:tab w:val="left" w:pos="2205"/>
        </w:tabs>
        <w:autoSpaceDE/>
        <w:autoSpaceDN/>
        <w:rPr>
          <w:rFonts w:eastAsia="Calibri"/>
          <w:sz w:val="28"/>
          <w:szCs w:val="28"/>
        </w:rPr>
      </w:pPr>
      <w:r>
        <w:rPr>
          <w:rFonts w:eastAsia="Calibri"/>
          <w:sz w:val="28"/>
          <w:szCs w:val="28"/>
        </w:rPr>
        <w:t>Показник платоспроможності:  коефіцієнт фінансової стійкості;</w:t>
      </w:r>
    </w:p>
    <w:p w14:paraId="0980BB8C" w14:textId="77777777" w:rsidR="00B3605A" w:rsidRDefault="00B3605A" w:rsidP="00B3605A">
      <w:pPr>
        <w:pStyle w:val="a5"/>
        <w:widowControl/>
        <w:numPr>
          <w:ilvl w:val="0"/>
          <w:numId w:val="2"/>
        </w:numPr>
        <w:tabs>
          <w:tab w:val="left" w:pos="2205"/>
        </w:tabs>
        <w:autoSpaceDE/>
        <w:autoSpaceDN/>
        <w:rPr>
          <w:rFonts w:eastAsia="Calibri"/>
          <w:sz w:val="28"/>
          <w:szCs w:val="28"/>
        </w:rPr>
      </w:pPr>
      <w:r>
        <w:rPr>
          <w:rFonts w:eastAsia="Calibri"/>
          <w:sz w:val="28"/>
          <w:szCs w:val="28"/>
        </w:rPr>
        <w:t>Показник ліквідності: коефіцієнт поточної ліквідності;</w:t>
      </w:r>
    </w:p>
    <w:p w14:paraId="2AA79DDC" w14:textId="77777777" w:rsidR="00B3605A" w:rsidRPr="00B3605A" w:rsidRDefault="00B3605A" w:rsidP="00B3605A">
      <w:pPr>
        <w:pStyle w:val="a5"/>
        <w:widowControl/>
        <w:numPr>
          <w:ilvl w:val="0"/>
          <w:numId w:val="2"/>
        </w:numPr>
        <w:tabs>
          <w:tab w:val="left" w:pos="2205"/>
        </w:tabs>
        <w:autoSpaceDE/>
        <w:autoSpaceDN/>
        <w:rPr>
          <w:rFonts w:eastAsia="Calibri"/>
          <w:sz w:val="28"/>
          <w:szCs w:val="28"/>
        </w:rPr>
      </w:pPr>
      <w:r>
        <w:rPr>
          <w:rFonts w:eastAsia="Calibri"/>
          <w:sz w:val="28"/>
          <w:szCs w:val="28"/>
        </w:rPr>
        <w:t>Обсяги виплат на користь держави.</w:t>
      </w:r>
    </w:p>
    <w:p w14:paraId="7B5FDD01" w14:textId="77777777" w:rsidR="00FE3764" w:rsidRPr="003C0563" w:rsidRDefault="003D4C11" w:rsidP="003C0563">
      <w:pPr>
        <w:pStyle w:val="2"/>
        <w:jc w:val="center"/>
        <w:rPr>
          <w:sz w:val="28"/>
          <w:szCs w:val="28"/>
        </w:rPr>
      </w:pPr>
      <w:r w:rsidRPr="003C0563">
        <w:rPr>
          <w:sz w:val="28"/>
          <w:szCs w:val="28"/>
        </w:rPr>
        <w:t>Операційні</w:t>
      </w:r>
      <w:r w:rsidRPr="003C0563">
        <w:rPr>
          <w:spacing w:val="-3"/>
          <w:sz w:val="28"/>
          <w:szCs w:val="28"/>
        </w:rPr>
        <w:t xml:space="preserve"> </w:t>
      </w:r>
      <w:r w:rsidRPr="003C0563">
        <w:rPr>
          <w:sz w:val="28"/>
          <w:szCs w:val="28"/>
        </w:rPr>
        <w:t>цілі</w:t>
      </w:r>
      <w:r w:rsidRPr="003C0563">
        <w:rPr>
          <w:spacing w:val="-3"/>
          <w:sz w:val="28"/>
          <w:szCs w:val="28"/>
        </w:rPr>
        <w:t xml:space="preserve"> </w:t>
      </w:r>
      <w:r w:rsidRPr="003C0563">
        <w:rPr>
          <w:sz w:val="28"/>
          <w:szCs w:val="28"/>
        </w:rPr>
        <w:t>діяльності</w:t>
      </w:r>
      <w:r w:rsidRPr="003C0563">
        <w:rPr>
          <w:spacing w:val="-2"/>
          <w:sz w:val="28"/>
          <w:szCs w:val="28"/>
        </w:rPr>
        <w:t xml:space="preserve"> </w:t>
      </w:r>
      <w:r w:rsidRPr="003C0563">
        <w:rPr>
          <w:sz w:val="28"/>
          <w:szCs w:val="28"/>
        </w:rPr>
        <w:t>Підприємства</w:t>
      </w:r>
    </w:p>
    <w:p w14:paraId="27AE78A2" w14:textId="77777777" w:rsidR="000F3C88" w:rsidRDefault="000F3C88" w:rsidP="00A935C3">
      <w:pPr>
        <w:widowControl/>
        <w:tabs>
          <w:tab w:val="left" w:pos="2205"/>
        </w:tabs>
        <w:autoSpaceDE/>
        <w:autoSpaceDN/>
        <w:spacing w:before="120"/>
        <w:ind w:firstLine="709"/>
        <w:jc w:val="both"/>
        <w:rPr>
          <w:rFonts w:eastAsia="Calibri"/>
          <w:sz w:val="28"/>
          <w:szCs w:val="28"/>
        </w:rPr>
      </w:pPr>
      <w:r w:rsidRPr="000F3C88">
        <w:rPr>
          <w:rFonts w:eastAsia="Calibri"/>
          <w:sz w:val="28"/>
          <w:szCs w:val="28"/>
        </w:rPr>
        <w:t xml:space="preserve">Підприємство </w:t>
      </w:r>
      <w:r w:rsidR="000E294A">
        <w:rPr>
          <w:rFonts w:eastAsia="Calibri"/>
          <w:sz w:val="28"/>
          <w:szCs w:val="28"/>
        </w:rPr>
        <w:t xml:space="preserve">на сьогодні </w:t>
      </w:r>
      <w:r w:rsidRPr="000F3C88">
        <w:rPr>
          <w:rFonts w:eastAsia="Calibri"/>
          <w:sz w:val="28"/>
          <w:szCs w:val="28"/>
        </w:rPr>
        <w:t xml:space="preserve">має порівняно стабільний ринок послуг, який суттєво незалежний від зовнішніх факторів. Так, УДЦР є єдиним підприємством в Україні, на яке покладається вирішення завдань щодо проведення розрахунків електромагнітної сумісності, здійснення присвоєння радіочастот, сигналів розпізнавання, проведення радіочастотного моніторингу користування </w:t>
      </w:r>
      <w:r w:rsidRPr="000F3C88">
        <w:rPr>
          <w:rFonts w:eastAsia="Calibri"/>
          <w:sz w:val="28"/>
          <w:szCs w:val="28"/>
        </w:rPr>
        <w:lastRenderedPageBreak/>
        <w:t>радіочастотним спектром загальними користувачами, проведення моніторингу якості електронних комунікаційних послуг.</w:t>
      </w:r>
    </w:p>
    <w:p w14:paraId="6B56AFB2" w14:textId="77777777" w:rsidR="00314326" w:rsidRDefault="000E294A" w:rsidP="00A935C3">
      <w:pPr>
        <w:widowControl/>
        <w:tabs>
          <w:tab w:val="left" w:pos="2205"/>
        </w:tabs>
        <w:autoSpaceDE/>
        <w:autoSpaceDN/>
        <w:spacing w:before="120"/>
        <w:ind w:firstLine="709"/>
        <w:jc w:val="both"/>
        <w:rPr>
          <w:rFonts w:eastAsia="Calibri"/>
          <w:sz w:val="28"/>
          <w:szCs w:val="28"/>
        </w:rPr>
      </w:pPr>
      <w:r>
        <w:rPr>
          <w:rFonts w:eastAsia="Calibri"/>
          <w:sz w:val="28"/>
          <w:szCs w:val="28"/>
        </w:rPr>
        <w:t>Основними операційними цілями Підприємства є наступна діяльність.</w:t>
      </w:r>
    </w:p>
    <w:p w14:paraId="779F3F7D" w14:textId="4417523B" w:rsidR="00642BD4" w:rsidRPr="0082102E" w:rsidRDefault="00314326" w:rsidP="00314326">
      <w:pPr>
        <w:widowControl/>
        <w:tabs>
          <w:tab w:val="left" w:pos="2205"/>
        </w:tabs>
        <w:autoSpaceDE/>
        <w:autoSpaceDN/>
        <w:spacing w:before="120"/>
        <w:ind w:firstLine="709"/>
        <w:jc w:val="both"/>
        <w:rPr>
          <w:rFonts w:eastAsia="Calibri"/>
          <w:b/>
          <w:sz w:val="28"/>
          <w:szCs w:val="28"/>
        </w:rPr>
      </w:pPr>
      <w:r w:rsidRPr="0082102E">
        <w:rPr>
          <w:rFonts w:eastAsia="Calibri"/>
          <w:b/>
          <w:sz w:val="28"/>
          <w:szCs w:val="28"/>
        </w:rPr>
        <w:t xml:space="preserve">Забезпечення радіочастотного моніторингу та забезпечення </w:t>
      </w:r>
      <w:r w:rsidR="0082102E" w:rsidRPr="0082102E">
        <w:rPr>
          <w:rFonts w:eastAsia="Calibri"/>
          <w:b/>
          <w:sz w:val="28"/>
          <w:szCs w:val="28"/>
        </w:rPr>
        <w:t>електромагнітної сумісності</w:t>
      </w:r>
      <w:r w:rsidRPr="0082102E">
        <w:rPr>
          <w:rFonts w:eastAsia="Calibri"/>
          <w:b/>
          <w:sz w:val="28"/>
          <w:szCs w:val="28"/>
        </w:rPr>
        <w:t xml:space="preserve"> </w:t>
      </w:r>
      <w:r w:rsidR="0082102E" w:rsidRPr="0082102E">
        <w:rPr>
          <w:rFonts w:eastAsia="Calibri"/>
          <w:b/>
          <w:sz w:val="28"/>
          <w:szCs w:val="28"/>
        </w:rPr>
        <w:t>радіообладнання</w:t>
      </w:r>
      <w:r w:rsidR="003C0563">
        <w:rPr>
          <w:rFonts w:eastAsia="Calibri"/>
          <w:b/>
          <w:sz w:val="28"/>
          <w:szCs w:val="28"/>
        </w:rPr>
        <w:t xml:space="preserve"> </w:t>
      </w:r>
    </w:p>
    <w:p w14:paraId="33539A1E" w14:textId="77777777" w:rsidR="00642BD4" w:rsidRPr="0082102E" w:rsidRDefault="0082102E" w:rsidP="00314326">
      <w:pPr>
        <w:widowControl/>
        <w:tabs>
          <w:tab w:val="left" w:pos="2205"/>
        </w:tabs>
        <w:autoSpaceDE/>
        <w:autoSpaceDN/>
        <w:spacing w:before="120"/>
        <w:ind w:firstLine="709"/>
        <w:jc w:val="both"/>
        <w:rPr>
          <w:rFonts w:eastAsia="Calibri"/>
          <w:sz w:val="28"/>
          <w:szCs w:val="28"/>
        </w:rPr>
      </w:pPr>
      <w:r w:rsidRPr="0082102E">
        <w:rPr>
          <w:rFonts w:eastAsia="Calibri"/>
          <w:sz w:val="28"/>
          <w:szCs w:val="28"/>
        </w:rPr>
        <w:t>Радіочастотний моніторинг здійснюється з метою забезпечення електромагнітної сумісності, визначення стану користування радіочастотним спектром на регіональному, національному та міжнародному рівнях, визначення наявного для впровадження новітніх технологій радіочастотного спектра, розроблення пропозицій для прийняття відповідних рішень щодо підвищення ефективності користування радіочастотним спектром та визначення дотримання Україною та сусідніми державами міжнародних зобов’язань і положень Регламенту радіозв’язку Міжнародного союзу електрозв’язку у сфері радіочастотного спектра.</w:t>
      </w:r>
    </w:p>
    <w:p w14:paraId="6A849A64" w14:textId="77777777" w:rsidR="008C6E80" w:rsidRPr="008C6E80" w:rsidRDefault="00314326" w:rsidP="00B96B85">
      <w:pPr>
        <w:widowControl/>
        <w:tabs>
          <w:tab w:val="left" w:pos="2205"/>
        </w:tabs>
        <w:autoSpaceDE/>
        <w:autoSpaceDN/>
        <w:spacing w:before="120"/>
        <w:ind w:firstLine="709"/>
        <w:jc w:val="both"/>
        <w:rPr>
          <w:rFonts w:eastAsia="Calibri"/>
          <w:b/>
          <w:sz w:val="28"/>
          <w:szCs w:val="28"/>
        </w:rPr>
      </w:pPr>
      <w:r w:rsidRPr="008C6E80">
        <w:rPr>
          <w:rFonts w:eastAsia="Calibri"/>
          <w:b/>
          <w:sz w:val="28"/>
          <w:szCs w:val="28"/>
        </w:rPr>
        <w:t>Моніторинг якості електронних комунікаційних послуг</w:t>
      </w:r>
    </w:p>
    <w:p w14:paraId="7C23CE02" w14:textId="4DBA8563" w:rsidR="008C6E80" w:rsidRPr="008C6E80" w:rsidRDefault="008C6E80" w:rsidP="00B96B85">
      <w:pPr>
        <w:widowControl/>
        <w:tabs>
          <w:tab w:val="left" w:pos="2205"/>
        </w:tabs>
        <w:autoSpaceDE/>
        <w:autoSpaceDN/>
        <w:spacing w:before="120"/>
        <w:ind w:firstLine="709"/>
        <w:jc w:val="both"/>
        <w:rPr>
          <w:rFonts w:eastAsia="Calibri"/>
          <w:sz w:val="28"/>
          <w:szCs w:val="28"/>
        </w:rPr>
      </w:pPr>
      <w:r w:rsidRPr="008C6E80">
        <w:rPr>
          <w:rFonts w:eastAsia="Calibri"/>
          <w:sz w:val="28"/>
          <w:szCs w:val="28"/>
        </w:rPr>
        <w:t>Мета послуги полягає в забезпеченні виконання Плану здійснення моніторингу якості електронних комунікаційних послуг у 202</w:t>
      </w:r>
      <w:r w:rsidR="00C50F8F">
        <w:rPr>
          <w:rFonts w:eastAsia="Calibri"/>
          <w:sz w:val="28"/>
          <w:szCs w:val="28"/>
        </w:rPr>
        <w:t>5</w:t>
      </w:r>
      <w:r w:rsidRPr="008C6E80">
        <w:rPr>
          <w:rFonts w:eastAsia="Calibri"/>
          <w:sz w:val="28"/>
          <w:szCs w:val="28"/>
        </w:rPr>
        <w:t xml:space="preserve"> році, затвердженого рішенням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14:paraId="04A32136" w14:textId="77777777" w:rsidR="008C6E80" w:rsidRPr="008C6E80" w:rsidRDefault="008C6E80" w:rsidP="00196856">
      <w:pPr>
        <w:widowControl/>
        <w:tabs>
          <w:tab w:val="left" w:pos="2205"/>
        </w:tabs>
        <w:autoSpaceDE/>
        <w:autoSpaceDN/>
        <w:ind w:firstLine="709"/>
        <w:jc w:val="both"/>
        <w:rPr>
          <w:rFonts w:eastAsia="Calibri"/>
          <w:sz w:val="28"/>
          <w:szCs w:val="28"/>
        </w:rPr>
      </w:pPr>
      <w:r w:rsidRPr="008C6E80">
        <w:rPr>
          <w:rFonts w:eastAsia="Calibri"/>
          <w:sz w:val="28"/>
          <w:szCs w:val="28"/>
        </w:rPr>
        <w:t>визначення реального стану дотримання рівнів показників якості послуг мобільного зв’язку;</w:t>
      </w:r>
    </w:p>
    <w:p w14:paraId="013DB91D" w14:textId="77777777" w:rsidR="008C6E80" w:rsidRPr="008C6E80" w:rsidRDefault="008C6E80" w:rsidP="00196856">
      <w:pPr>
        <w:widowControl/>
        <w:tabs>
          <w:tab w:val="left" w:pos="2205"/>
        </w:tabs>
        <w:autoSpaceDE/>
        <w:autoSpaceDN/>
        <w:ind w:firstLine="709"/>
        <w:jc w:val="both"/>
        <w:rPr>
          <w:rFonts w:eastAsia="Calibri"/>
          <w:sz w:val="28"/>
          <w:szCs w:val="28"/>
        </w:rPr>
      </w:pPr>
      <w:r w:rsidRPr="008C6E80">
        <w:rPr>
          <w:rFonts w:eastAsia="Calibri"/>
          <w:sz w:val="28"/>
          <w:szCs w:val="28"/>
        </w:rPr>
        <w:t>забезпечення постачальників електронних комунікаційних послуг інформацією щодо доступності електронних комунікаційних послуг та наявного рівня їх якості на визначеній Планом здійснення моніторингу якості електронних комунікаційних послуг території України в умовах воєнного стану;</w:t>
      </w:r>
    </w:p>
    <w:p w14:paraId="37F32C42" w14:textId="77777777" w:rsidR="008C6E80" w:rsidRPr="008C6E80" w:rsidRDefault="008C6E80" w:rsidP="00196856">
      <w:pPr>
        <w:widowControl/>
        <w:tabs>
          <w:tab w:val="left" w:pos="2205"/>
        </w:tabs>
        <w:autoSpaceDE/>
        <w:autoSpaceDN/>
        <w:ind w:firstLine="709"/>
        <w:jc w:val="both"/>
        <w:rPr>
          <w:rFonts w:eastAsia="Calibri"/>
          <w:sz w:val="28"/>
          <w:szCs w:val="28"/>
        </w:rPr>
      </w:pPr>
      <w:r w:rsidRPr="008C6E80">
        <w:rPr>
          <w:rFonts w:eastAsia="Calibri"/>
          <w:sz w:val="28"/>
          <w:szCs w:val="28"/>
        </w:rPr>
        <w:t xml:space="preserve">захист прав кінцевих споживачів щодо отримання послуг мобільного </w:t>
      </w:r>
      <w:r w:rsidR="008E09F0" w:rsidRPr="008C6E80">
        <w:rPr>
          <w:rFonts w:eastAsia="Calibri"/>
          <w:sz w:val="28"/>
          <w:szCs w:val="28"/>
        </w:rPr>
        <w:t>зв’язку</w:t>
      </w:r>
      <w:r w:rsidRPr="008C6E80">
        <w:rPr>
          <w:rFonts w:eastAsia="Calibri"/>
          <w:sz w:val="28"/>
          <w:szCs w:val="28"/>
        </w:rPr>
        <w:t xml:space="preserve"> належної якості відповідно до вимог законодавства.</w:t>
      </w:r>
    </w:p>
    <w:p w14:paraId="06F5A597" w14:textId="77777777" w:rsidR="006F656A" w:rsidRDefault="006F656A" w:rsidP="003C0563">
      <w:pPr>
        <w:widowControl/>
        <w:autoSpaceDE/>
        <w:autoSpaceDN/>
        <w:ind w:firstLine="241"/>
        <w:jc w:val="both"/>
        <w:rPr>
          <w:rFonts w:eastAsia="Calibri"/>
          <w:b/>
          <w:sz w:val="28"/>
          <w:szCs w:val="28"/>
        </w:rPr>
      </w:pPr>
    </w:p>
    <w:p w14:paraId="18DE46FB" w14:textId="77777777" w:rsidR="006F656A" w:rsidRDefault="006F656A" w:rsidP="006F656A">
      <w:pPr>
        <w:widowControl/>
        <w:autoSpaceDE/>
        <w:autoSpaceDN/>
        <w:ind w:firstLine="709"/>
        <w:jc w:val="both"/>
        <w:rPr>
          <w:rFonts w:eastAsia="Calibri"/>
          <w:b/>
          <w:sz w:val="28"/>
          <w:szCs w:val="28"/>
        </w:rPr>
      </w:pPr>
      <w:r w:rsidRPr="006F656A">
        <w:rPr>
          <w:rFonts w:eastAsia="Calibri"/>
          <w:b/>
          <w:sz w:val="28"/>
          <w:szCs w:val="28"/>
        </w:rPr>
        <w:t xml:space="preserve">Розгляд заявочних документів (замовлень (декларацій) на підготовку та оформлення розрахунків електромагнітної сумісності радіообладнання </w:t>
      </w:r>
    </w:p>
    <w:p w14:paraId="2255DCB5" w14:textId="77777777" w:rsidR="003C0563" w:rsidRPr="003C0563" w:rsidRDefault="006F656A" w:rsidP="003C0563">
      <w:pPr>
        <w:widowControl/>
        <w:autoSpaceDE/>
        <w:autoSpaceDN/>
        <w:ind w:firstLine="241"/>
        <w:jc w:val="both"/>
        <w:rPr>
          <w:rFonts w:eastAsia="Calibri"/>
          <w:sz w:val="28"/>
          <w:szCs w:val="28"/>
        </w:rPr>
      </w:pPr>
      <w:r>
        <w:rPr>
          <w:rFonts w:eastAsia="Calibri"/>
          <w:b/>
          <w:sz w:val="28"/>
          <w:szCs w:val="28"/>
        </w:rPr>
        <w:tab/>
      </w:r>
      <w:r w:rsidR="003C0563" w:rsidRPr="003C0563">
        <w:rPr>
          <w:rFonts w:eastAsia="Calibri"/>
          <w:sz w:val="28"/>
          <w:szCs w:val="28"/>
        </w:rPr>
        <w:t xml:space="preserve">Розрахунок електромагнітної сумісності визначає теоретичні результати оцінки (розрахунку) можливості забезпечення електромагнітної сумісності між раніше заявленими, запланованими та вже задіяними присвоєннями радіочастот для радіообладнання, включаючи перелік заходів, необхідних для підтвердження виконання умов забезпечення електромагнітної сумісності запланованого радіообладнання на місці його експлуатації. Тобто, метою здійснення розрахунків є </w:t>
      </w:r>
      <w:r w:rsidR="003C0563" w:rsidRPr="003C0563">
        <w:rPr>
          <w:rFonts w:eastAsia="Calibri"/>
          <w:sz w:val="28"/>
          <w:szCs w:val="28"/>
        </w:rPr>
        <w:lastRenderedPageBreak/>
        <w:t xml:space="preserve">забезпечення </w:t>
      </w:r>
      <w:proofErr w:type="spellStart"/>
      <w:r w:rsidR="003C0563" w:rsidRPr="003C0563">
        <w:rPr>
          <w:rFonts w:eastAsia="Calibri"/>
          <w:sz w:val="28"/>
          <w:szCs w:val="28"/>
        </w:rPr>
        <w:t>беззавадової</w:t>
      </w:r>
      <w:proofErr w:type="spellEnd"/>
      <w:r w:rsidR="003C0563" w:rsidRPr="003C0563">
        <w:rPr>
          <w:rFonts w:eastAsia="Calibri"/>
          <w:sz w:val="28"/>
          <w:szCs w:val="28"/>
        </w:rPr>
        <w:t xml:space="preserve"> роботи радіообладнання загальних користувачів, а також РЕЗ спеціальних користувачів.</w:t>
      </w:r>
    </w:p>
    <w:p w14:paraId="5300D735" w14:textId="77777777" w:rsidR="00FE3764" w:rsidRPr="00CB4D08" w:rsidRDefault="003D4C11" w:rsidP="003C0563">
      <w:pPr>
        <w:pStyle w:val="2"/>
        <w:jc w:val="center"/>
        <w:rPr>
          <w:sz w:val="28"/>
          <w:szCs w:val="28"/>
        </w:rPr>
      </w:pPr>
      <w:r w:rsidRPr="00CB4D08">
        <w:rPr>
          <w:sz w:val="28"/>
          <w:szCs w:val="28"/>
        </w:rPr>
        <w:t>Нефінансові</w:t>
      </w:r>
      <w:r w:rsidRPr="00CB4D08">
        <w:rPr>
          <w:spacing w:val="-4"/>
          <w:sz w:val="28"/>
          <w:szCs w:val="28"/>
        </w:rPr>
        <w:t xml:space="preserve"> </w:t>
      </w:r>
      <w:r w:rsidRPr="00CB4D08">
        <w:rPr>
          <w:sz w:val="28"/>
          <w:szCs w:val="28"/>
        </w:rPr>
        <w:t>цілі</w:t>
      </w:r>
      <w:r w:rsidRPr="00CB4D08">
        <w:rPr>
          <w:spacing w:val="-3"/>
          <w:sz w:val="28"/>
          <w:szCs w:val="28"/>
        </w:rPr>
        <w:t xml:space="preserve"> </w:t>
      </w:r>
      <w:r w:rsidRPr="00CB4D08">
        <w:rPr>
          <w:sz w:val="28"/>
          <w:szCs w:val="28"/>
        </w:rPr>
        <w:t>діяльності</w:t>
      </w:r>
      <w:r w:rsidRPr="00CB4D08">
        <w:rPr>
          <w:spacing w:val="-2"/>
          <w:sz w:val="28"/>
          <w:szCs w:val="28"/>
        </w:rPr>
        <w:t xml:space="preserve"> </w:t>
      </w:r>
      <w:r w:rsidRPr="00CB4D08">
        <w:rPr>
          <w:sz w:val="28"/>
          <w:szCs w:val="28"/>
        </w:rPr>
        <w:t>Підприємства</w:t>
      </w:r>
    </w:p>
    <w:p w14:paraId="624CE2B8" w14:textId="77777777" w:rsidR="0062387C" w:rsidRPr="0062387C" w:rsidRDefault="000A6054" w:rsidP="00A935C3">
      <w:pPr>
        <w:widowControl/>
        <w:autoSpaceDE/>
        <w:autoSpaceDN/>
        <w:spacing w:before="120"/>
        <w:ind w:firstLine="709"/>
        <w:jc w:val="both"/>
        <w:rPr>
          <w:rFonts w:eastAsia="Calibri"/>
          <w:sz w:val="28"/>
          <w:szCs w:val="28"/>
        </w:rPr>
      </w:pPr>
      <w:r w:rsidRPr="000A6054">
        <w:rPr>
          <w:rFonts w:eastAsia="Calibri"/>
          <w:b/>
          <w:sz w:val="28"/>
          <w:szCs w:val="28"/>
        </w:rPr>
        <w:t>Розвиток людського ресурсу та компетенції</w:t>
      </w:r>
      <w:r w:rsidR="0062387C" w:rsidRPr="0062387C">
        <w:rPr>
          <w:rFonts w:eastAsia="Calibri"/>
          <w:b/>
          <w:sz w:val="28"/>
          <w:szCs w:val="28"/>
        </w:rPr>
        <w:t>.</w:t>
      </w:r>
      <w:r w:rsidR="0062387C" w:rsidRPr="0062387C">
        <w:rPr>
          <w:rFonts w:eastAsia="Calibri"/>
          <w:sz w:val="28"/>
          <w:szCs w:val="28"/>
        </w:rPr>
        <w:t xml:space="preserve"> В УДЦР підтримується високий рівень науково-технічного та методичного забезпечення виробничих процесів, 88% персоналу мають повну вищу або базову вищу освіту, з них 14 працівників мають науковий ступінь. </w:t>
      </w:r>
    </w:p>
    <w:p w14:paraId="3AA29E36" w14:textId="7E8EA754" w:rsidR="0062387C" w:rsidRDefault="000A6054" w:rsidP="000A6054">
      <w:pPr>
        <w:widowControl/>
        <w:autoSpaceDE/>
        <w:autoSpaceDN/>
        <w:ind w:firstLine="709"/>
        <w:jc w:val="both"/>
        <w:rPr>
          <w:rFonts w:eastAsia="Calibri"/>
          <w:sz w:val="28"/>
          <w:szCs w:val="28"/>
        </w:rPr>
      </w:pPr>
      <w:r>
        <w:rPr>
          <w:rFonts w:eastAsia="Calibri"/>
          <w:sz w:val="28"/>
          <w:szCs w:val="28"/>
        </w:rPr>
        <w:t>П</w:t>
      </w:r>
      <w:r w:rsidR="0062387C" w:rsidRPr="0062387C">
        <w:rPr>
          <w:rFonts w:eastAsia="Calibri"/>
          <w:sz w:val="28"/>
          <w:szCs w:val="28"/>
        </w:rPr>
        <w:t xml:space="preserve">рофесійні навички працівників  підтримуються регулярними атестаціями. На внутрішньому порталі Підприємства розміщено 22 навчальні курси, що дозволяють проводити контроль </w:t>
      </w:r>
      <w:r w:rsidR="00C50F8F">
        <w:rPr>
          <w:rFonts w:eastAsia="Calibri"/>
          <w:sz w:val="28"/>
          <w:szCs w:val="28"/>
        </w:rPr>
        <w:t>та/</w:t>
      </w:r>
      <w:r w:rsidR="0062387C" w:rsidRPr="0062387C">
        <w:rPr>
          <w:rFonts w:eastAsia="Calibri"/>
          <w:sz w:val="28"/>
          <w:szCs w:val="28"/>
        </w:rPr>
        <w:t xml:space="preserve">або самоконтроль знань працівників. </w:t>
      </w:r>
    </w:p>
    <w:p w14:paraId="0B9C50A4" w14:textId="77777777" w:rsidR="00473442" w:rsidRPr="00473442" w:rsidRDefault="00473442" w:rsidP="001C45A3">
      <w:pPr>
        <w:widowControl/>
        <w:autoSpaceDE/>
        <w:autoSpaceDN/>
        <w:ind w:right="-81" w:firstLine="540"/>
        <w:jc w:val="both"/>
        <w:rPr>
          <w:b/>
          <w:noProof/>
          <w:sz w:val="28"/>
          <w:szCs w:val="28"/>
          <w:lang w:eastAsia="ru-RU"/>
        </w:rPr>
      </w:pPr>
      <w:r w:rsidRPr="00473442">
        <w:rPr>
          <w:b/>
          <w:sz w:val="28"/>
          <w:szCs w:val="28"/>
        </w:rPr>
        <w:t>Соціальний захист працівників, охорона праці та забезпечення виконання умов колективного договору</w:t>
      </w:r>
      <w:r w:rsidRPr="00473442">
        <w:rPr>
          <w:b/>
          <w:noProof/>
          <w:sz w:val="28"/>
          <w:szCs w:val="28"/>
          <w:lang w:eastAsia="ru-RU"/>
        </w:rPr>
        <w:t xml:space="preserve"> </w:t>
      </w:r>
    </w:p>
    <w:p w14:paraId="06CE60F3" w14:textId="77777777" w:rsidR="001C45A3" w:rsidRPr="001C45A3" w:rsidRDefault="00265634" w:rsidP="001C45A3">
      <w:pPr>
        <w:widowControl/>
        <w:autoSpaceDE/>
        <w:autoSpaceDN/>
        <w:ind w:right="-81" w:firstLine="540"/>
        <w:jc w:val="both"/>
        <w:rPr>
          <w:noProof/>
          <w:sz w:val="28"/>
          <w:szCs w:val="28"/>
          <w:lang w:eastAsia="ru-RU"/>
        </w:rPr>
      </w:pPr>
      <w:r>
        <w:rPr>
          <w:noProof/>
          <w:sz w:val="28"/>
          <w:szCs w:val="28"/>
          <w:lang w:eastAsia="ru-RU"/>
        </w:rPr>
        <w:t xml:space="preserve">На Підприємстві діє </w:t>
      </w:r>
      <w:r w:rsidR="001C45A3" w:rsidRPr="001C45A3">
        <w:rPr>
          <w:noProof/>
          <w:sz w:val="28"/>
          <w:szCs w:val="28"/>
          <w:lang w:eastAsia="ru-RU"/>
        </w:rPr>
        <w:t>Колективний договір</w:t>
      </w:r>
      <w:r>
        <w:rPr>
          <w:noProof/>
          <w:sz w:val="28"/>
          <w:szCs w:val="28"/>
          <w:lang w:eastAsia="ru-RU"/>
        </w:rPr>
        <w:t>, який</w:t>
      </w:r>
      <w:r w:rsidR="001C45A3" w:rsidRPr="001C45A3">
        <w:rPr>
          <w:noProof/>
          <w:sz w:val="28"/>
          <w:szCs w:val="28"/>
          <w:lang w:eastAsia="ru-RU"/>
        </w:rPr>
        <w:t xml:space="preserve"> укладено </w:t>
      </w:r>
      <w:r w:rsidR="00FF2FE4">
        <w:rPr>
          <w:noProof/>
          <w:sz w:val="28"/>
          <w:szCs w:val="28"/>
          <w:lang w:eastAsia="ru-RU"/>
        </w:rPr>
        <w:t>між адміністрацією та ОППО УДЦР</w:t>
      </w:r>
      <w:r w:rsidR="00351266">
        <w:rPr>
          <w:noProof/>
          <w:sz w:val="28"/>
          <w:szCs w:val="28"/>
          <w:lang w:eastAsia="ru-RU"/>
        </w:rPr>
        <w:t xml:space="preserve"> </w:t>
      </w:r>
      <w:r w:rsidR="001C45A3" w:rsidRPr="001C45A3">
        <w:rPr>
          <w:noProof/>
          <w:sz w:val="28"/>
          <w:szCs w:val="28"/>
          <w:lang w:eastAsia="ru-RU"/>
        </w:rPr>
        <w:t xml:space="preserve">з метою регулювання виробничих, соціально-трудових відносин, посилення соціального захисту працівників </w:t>
      </w:r>
      <w:r>
        <w:rPr>
          <w:noProof/>
          <w:sz w:val="28"/>
          <w:szCs w:val="28"/>
          <w:lang w:eastAsia="ru-RU"/>
        </w:rPr>
        <w:t>УДЦР,</w:t>
      </w:r>
      <w:r w:rsidR="001C45A3" w:rsidRPr="001C45A3">
        <w:rPr>
          <w:noProof/>
          <w:sz w:val="28"/>
          <w:szCs w:val="28"/>
          <w:lang w:eastAsia="ru-RU"/>
        </w:rPr>
        <w:t xml:space="preserve"> покращення існуючих на Підприємстві умов праці, і встановл</w:t>
      </w:r>
      <w:r w:rsidR="00FF2FE4">
        <w:rPr>
          <w:noProof/>
          <w:sz w:val="28"/>
          <w:szCs w:val="28"/>
          <w:lang w:eastAsia="ru-RU"/>
        </w:rPr>
        <w:t>ення</w:t>
      </w:r>
      <w:r w:rsidR="001C45A3" w:rsidRPr="001C45A3">
        <w:rPr>
          <w:noProof/>
          <w:sz w:val="28"/>
          <w:szCs w:val="28"/>
          <w:lang w:eastAsia="ru-RU"/>
        </w:rPr>
        <w:t xml:space="preserve"> взаємн</w:t>
      </w:r>
      <w:r w:rsidR="00FF2FE4">
        <w:rPr>
          <w:noProof/>
          <w:sz w:val="28"/>
          <w:szCs w:val="28"/>
          <w:lang w:eastAsia="ru-RU"/>
        </w:rPr>
        <w:t>их</w:t>
      </w:r>
      <w:r w:rsidR="001C45A3" w:rsidRPr="001C45A3">
        <w:rPr>
          <w:noProof/>
          <w:sz w:val="28"/>
          <w:szCs w:val="28"/>
          <w:lang w:eastAsia="ru-RU"/>
        </w:rPr>
        <w:t xml:space="preserve"> зобов</w:t>
      </w:r>
      <w:r w:rsidR="00351266">
        <w:rPr>
          <w:noProof/>
          <w:sz w:val="28"/>
          <w:szCs w:val="28"/>
          <w:lang w:eastAsia="ru-RU"/>
        </w:rPr>
        <w:t>’язан</w:t>
      </w:r>
      <w:r w:rsidR="00FF2FE4">
        <w:rPr>
          <w:noProof/>
          <w:sz w:val="28"/>
          <w:szCs w:val="28"/>
          <w:lang w:eastAsia="ru-RU"/>
        </w:rPr>
        <w:t>ь</w:t>
      </w:r>
      <w:r w:rsidR="00351266">
        <w:rPr>
          <w:noProof/>
          <w:sz w:val="28"/>
          <w:szCs w:val="28"/>
          <w:lang w:eastAsia="ru-RU"/>
        </w:rPr>
        <w:t xml:space="preserve"> сторін, що його уклали.</w:t>
      </w:r>
    </w:p>
    <w:p w14:paraId="3669F4B0" w14:textId="77777777" w:rsidR="000B55EC" w:rsidRDefault="000B55EC" w:rsidP="001C45A3">
      <w:pPr>
        <w:spacing w:line="276" w:lineRule="auto"/>
        <w:ind w:firstLine="540"/>
        <w:jc w:val="both"/>
        <w:rPr>
          <w:b/>
          <w:sz w:val="28"/>
          <w:szCs w:val="28"/>
        </w:rPr>
      </w:pPr>
      <w:r w:rsidRPr="001C45A3">
        <w:rPr>
          <w:b/>
          <w:sz w:val="28"/>
          <w:szCs w:val="28"/>
        </w:rPr>
        <w:t xml:space="preserve">Використання відновлюваних джерел енергії, а саме сонячної </w:t>
      </w:r>
      <w:r w:rsidR="00825E94">
        <w:rPr>
          <w:b/>
          <w:sz w:val="28"/>
          <w:szCs w:val="28"/>
        </w:rPr>
        <w:t>електро</w:t>
      </w:r>
      <w:r w:rsidRPr="001C45A3">
        <w:rPr>
          <w:b/>
          <w:sz w:val="28"/>
          <w:szCs w:val="28"/>
        </w:rPr>
        <w:t>станції</w:t>
      </w:r>
    </w:p>
    <w:p w14:paraId="19DCD670" w14:textId="30213462" w:rsidR="00DC57AA" w:rsidRPr="00DC57AA" w:rsidRDefault="001C45A3" w:rsidP="00670172">
      <w:pPr>
        <w:widowControl/>
        <w:ind w:firstLine="567"/>
        <w:jc w:val="both"/>
        <w:rPr>
          <w:sz w:val="28"/>
          <w:szCs w:val="28"/>
          <w:lang w:eastAsia="ru-RU"/>
        </w:rPr>
      </w:pPr>
      <w:r w:rsidRPr="00DC57AA">
        <w:rPr>
          <w:sz w:val="28"/>
          <w:szCs w:val="28"/>
        </w:rPr>
        <w:t xml:space="preserve">З метою забезпечення </w:t>
      </w:r>
      <w:r w:rsidR="00351266">
        <w:rPr>
          <w:sz w:val="28"/>
          <w:szCs w:val="28"/>
        </w:rPr>
        <w:t xml:space="preserve">безперебійного </w:t>
      </w:r>
      <w:r w:rsidRPr="00DC57AA">
        <w:rPr>
          <w:sz w:val="28"/>
          <w:szCs w:val="28"/>
        </w:rPr>
        <w:t xml:space="preserve">енергопостачання, тепло та водозабезпечення УДЦР впроваджуються нові </w:t>
      </w:r>
      <w:r w:rsidR="00DC57AA" w:rsidRPr="00DC57AA">
        <w:rPr>
          <w:sz w:val="28"/>
          <w:szCs w:val="28"/>
        </w:rPr>
        <w:t>технології</w:t>
      </w:r>
      <w:r w:rsidRPr="00DC57AA">
        <w:rPr>
          <w:sz w:val="28"/>
          <w:szCs w:val="28"/>
        </w:rPr>
        <w:t xml:space="preserve"> </w:t>
      </w:r>
      <w:r w:rsidR="00225E47">
        <w:rPr>
          <w:sz w:val="28"/>
          <w:szCs w:val="28"/>
        </w:rPr>
        <w:t>використання альтернативних джерел енергії для забезпечення ефективної роботи Підприємства</w:t>
      </w:r>
      <w:r w:rsidR="00FA71A9">
        <w:rPr>
          <w:sz w:val="28"/>
          <w:szCs w:val="28"/>
        </w:rPr>
        <w:t>. Так, І</w:t>
      </w:r>
      <w:r w:rsidR="00DC57AA" w:rsidRPr="00DC57AA">
        <w:rPr>
          <w:sz w:val="28"/>
          <w:szCs w:val="28"/>
        </w:rPr>
        <w:t xml:space="preserve">нвестиційним планом </w:t>
      </w:r>
      <w:r w:rsidR="00225E47">
        <w:rPr>
          <w:sz w:val="28"/>
          <w:szCs w:val="28"/>
        </w:rPr>
        <w:t xml:space="preserve">на 2025 рік </w:t>
      </w:r>
      <w:r w:rsidR="00DC57AA" w:rsidRPr="00DC57AA">
        <w:rPr>
          <w:sz w:val="28"/>
          <w:szCs w:val="28"/>
        </w:rPr>
        <w:t>передбач</w:t>
      </w:r>
      <w:r w:rsidR="00473442">
        <w:rPr>
          <w:sz w:val="28"/>
          <w:szCs w:val="28"/>
        </w:rPr>
        <w:t>ається</w:t>
      </w:r>
      <w:r w:rsidR="00DC57AA" w:rsidRPr="00DC57AA">
        <w:rPr>
          <w:sz w:val="28"/>
          <w:szCs w:val="28"/>
        </w:rPr>
        <w:t xml:space="preserve"> </w:t>
      </w:r>
      <w:r w:rsidR="00473442">
        <w:rPr>
          <w:sz w:val="28"/>
          <w:szCs w:val="28"/>
        </w:rPr>
        <w:t>в</w:t>
      </w:r>
      <w:r w:rsidR="00DC57AA" w:rsidRPr="00DC57AA">
        <w:rPr>
          <w:sz w:val="28"/>
          <w:szCs w:val="28"/>
        </w:rPr>
        <w:t>становлення додаткових</w:t>
      </w:r>
      <w:r w:rsidR="00473442">
        <w:rPr>
          <w:sz w:val="28"/>
          <w:szCs w:val="28"/>
        </w:rPr>
        <w:t xml:space="preserve">, до вже </w:t>
      </w:r>
      <w:r w:rsidR="00225E47">
        <w:rPr>
          <w:sz w:val="28"/>
          <w:szCs w:val="28"/>
        </w:rPr>
        <w:t>існуючих</w:t>
      </w:r>
      <w:r w:rsidR="00473442">
        <w:rPr>
          <w:sz w:val="28"/>
          <w:szCs w:val="28"/>
        </w:rPr>
        <w:t>,</w:t>
      </w:r>
      <w:r w:rsidR="00DC57AA" w:rsidRPr="00DC57AA">
        <w:rPr>
          <w:sz w:val="28"/>
          <w:szCs w:val="28"/>
        </w:rPr>
        <w:t xml:space="preserve"> енергогенеруючих </w:t>
      </w:r>
      <w:proofErr w:type="spellStart"/>
      <w:r w:rsidR="00DC57AA" w:rsidRPr="00DC57AA">
        <w:rPr>
          <w:sz w:val="28"/>
          <w:szCs w:val="28"/>
        </w:rPr>
        <w:t>потужностей</w:t>
      </w:r>
      <w:proofErr w:type="spellEnd"/>
      <w:r w:rsidR="00DC57AA" w:rsidRPr="00DC57AA">
        <w:rPr>
          <w:sz w:val="28"/>
          <w:szCs w:val="28"/>
        </w:rPr>
        <w:t xml:space="preserve"> для виробництва електричної енергії, зокрема із можливістю в подальшому її відпуску в об'єднану енергетичну систему України (Протокол № 65 засідання </w:t>
      </w:r>
      <w:r w:rsidR="00C50F8F" w:rsidRPr="00DC57AA">
        <w:rPr>
          <w:sz w:val="28"/>
          <w:szCs w:val="28"/>
        </w:rPr>
        <w:t>К</w:t>
      </w:r>
      <w:r w:rsidR="00C50F8F">
        <w:rPr>
          <w:sz w:val="28"/>
          <w:szCs w:val="28"/>
        </w:rPr>
        <w:t>абінету Міністрів України</w:t>
      </w:r>
      <w:r w:rsidR="00C50F8F" w:rsidRPr="00DC57AA">
        <w:rPr>
          <w:sz w:val="28"/>
          <w:szCs w:val="28"/>
        </w:rPr>
        <w:t xml:space="preserve"> </w:t>
      </w:r>
      <w:r w:rsidR="00DC57AA" w:rsidRPr="00DC57AA">
        <w:rPr>
          <w:sz w:val="28"/>
          <w:szCs w:val="28"/>
        </w:rPr>
        <w:t>від</w:t>
      </w:r>
      <w:r w:rsidR="00670172">
        <w:rPr>
          <w:sz w:val="28"/>
          <w:szCs w:val="28"/>
        </w:rPr>
        <w:t> </w:t>
      </w:r>
      <w:r w:rsidR="00DC57AA" w:rsidRPr="00DC57AA">
        <w:rPr>
          <w:sz w:val="28"/>
          <w:szCs w:val="28"/>
        </w:rPr>
        <w:t xml:space="preserve">25.06.2024) </w:t>
      </w:r>
    </w:p>
    <w:p w14:paraId="481B39A3" w14:textId="77777777" w:rsidR="001C45A3" w:rsidRPr="001C45A3" w:rsidRDefault="001C45A3" w:rsidP="001C45A3">
      <w:pPr>
        <w:spacing w:line="276" w:lineRule="auto"/>
        <w:ind w:firstLine="540"/>
        <w:jc w:val="both"/>
        <w:rPr>
          <w:noProof/>
          <w:sz w:val="28"/>
          <w:szCs w:val="28"/>
          <w:lang w:eastAsia="ru-RU"/>
        </w:rPr>
      </w:pPr>
    </w:p>
    <w:p w14:paraId="577F0FD5" w14:textId="77777777" w:rsidR="0062387C" w:rsidRDefault="0062387C">
      <w:pPr>
        <w:spacing w:line="276" w:lineRule="auto"/>
        <w:jc w:val="both"/>
        <w:sectPr w:rsidR="0062387C" w:rsidSect="00860F28">
          <w:headerReference w:type="default" r:id="rId8"/>
          <w:pgSz w:w="12240" w:h="15840" w:code="1"/>
          <w:pgMar w:top="1418" w:right="758" w:bottom="1702" w:left="1457" w:header="561" w:footer="0" w:gutter="0"/>
          <w:pgNumType w:start="2"/>
          <w:cols w:space="720"/>
        </w:sectPr>
      </w:pPr>
    </w:p>
    <w:p w14:paraId="408F549E" w14:textId="77777777" w:rsidR="00FE3764" w:rsidRPr="00654368" w:rsidRDefault="003D4C11">
      <w:pPr>
        <w:ind w:left="241"/>
        <w:jc w:val="both"/>
        <w:rPr>
          <w:b/>
          <w:i/>
          <w:sz w:val="26"/>
          <w:szCs w:val="26"/>
        </w:rPr>
      </w:pPr>
      <w:r w:rsidRPr="00654368">
        <w:rPr>
          <w:b/>
          <w:sz w:val="26"/>
          <w:szCs w:val="26"/>
        </w:rPr>
        <w:lastRenderedPageBreak/>
        <w:t>Таблиця</w:t>
      </w:r>
      <w:r w:rsidRPr="00654368">
        <w:rPr>
          <w:b/>
          <w:i/>
          <w:sz w:val="26"/>
          <w:szCs w:val="26"/>
        </w:rPr>
        <w:t>.</w:t>
      </w:r>
      <w:r w:rsidRPr="00654368">
        <w:rPr>
          <w:b/>
          <w:i/>
          <w:spacing w:val="-2"/>
          <w:sz w:val="26"/>
          <w:szCs w:val="26"/>
        </w:rPr>
        <w:t xml:space="preserve"> </w:t>
      </w:r>
      <w:r w:rsidRPr="00654368">
        <w:rPr>
          <w:b/>
          <w:i/>
          <w:sz w:val="26"/>
          <w:szCs w:val="26"/>
        </w:rPr>
        <w:t>Цільові</w:t>
      </w:r>
      <w:r w:rsidRPr="00654368">
        <w:rPr>
          <w:b/>
          <w:i/>
          <w:spacing w:val="-2"/>
          <w:sz w:val="26"/>
          <w:szCs w:val="26"/>
        </w:rPr>
        <w:t xml:space="preserve"> </w:t>
      </w:r>
      <w:r w:rsidRPr="00654368">
        <w:rPr>
          <w:b/>
          <w:i/>
          <w:sz w:val="26"/>
          <w:szCs w:val="26"/>
        </w:rPr>
        <w:t>показники</w:t>
      </w:r>
      <w:r w:rsidRPr="00654368">
        <w:rPr>
          <w:b/>
          <w:i/>
          <w:spacing w:val="-3"/>
          <w:sz w:val="26"/>
          <w:szCs w:val="26"/>
        </w:rPr>
        <w:t xml:space="preserve"> </w:t>
      </w:r>
      <w:r w:rsidRPr="00654368">
        <w:rPr>
          <w:b/>
          <w:i/>
          <w:sz w:val="26"/>
          <w:szCs w:val="26"/>
        </w:rPr>
        <w:t>ефективності</w:t>
      </w:r>
      <w:r w:rsidRPr="00654368">
        <w:rPr>
          <w:b/>
          <w:i/>
          <w:spacing w:val="-2"/>
          <w:sz w:val="26"/>
          <w:szCs w:val="26"/>
        </w:rPr>
        <w:t xml:space="preserve"> </w:t>
      </w:r>
      <w:r w:rsidRPr="00654368">
        <w:rPr>
          <w:b/>
          <w:i/>
          <w:sz w:val="26"/>
          <w:szCs w:val="26"/>
        </w:rPr>
        <w:t>Підприємства</w:t>
      </w:r>
    </w:p>
    <w:p w14:paraId="55ADFD00" w14:textId="77777777" w:rsidR="00FE3764" w:rsidRDefault="00FE3764">
      <w:pPr>
        <w:pStyle w:val="a3"/>
        <w:spacing w:before="5"/>
        <w:rPr>
          <w:sz w:val="10"/>
        </w:rPr>
      </w:pPr>
    </w:p>
    <w:tbl>
      <w:tblPr>
        <w:tblStyle w:val="TableNormal"/>
        <w:tblW w:w="10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4"/>
        <w:gridCol w:w="1417"/>
        <w:gridCol w:w="1418"/>
        <w:gridCol w:w="1417"/>
        <w:gridCol w:w="1418"/>
        <w:gridCol w:w="1486"/>
      </w:tblGrid>
      <w:tr w:rsidR="0088630C" w14:paraId="603DC033" w14:textId="77777777" w:rsidTr="00335D8C">
        <w:trPr>
          <w:trHeight w:val="739"/>
          <w:jc w:val="center"/>
        </w:trPr>
        <w:tc>
          <w:tcPr>
            <w:tcW w:w="3114" w:type="dxa"/>
            <w:shd w:val="clear" w:color="auto" w:fill="E8E8E8"/>
          </w:tcPr>
          <w:p w14:paraId="0ECFCD68" w14:textId="77777777" w:rsidR="00FE3764" w:rsidRDefault="00FE3764">
            <w:pPr>
              <w:pStyle w:val="TableParagraph"/>
            </w:pPr>
          </w:p>
        </w:tc>
        <w:tc>
          <w:tcPr>
            <w:tcW w:w="1417" w:type="dxa"/>
            <w:shd w:val="clear" w:color="auto" w:fill="E8E8E8"/>
            <w:vAlign w:val="center"/>
          </w:tcPr>
          <w:p w14:paraId="5507D18B" w14:textId="77777777" w:rsidR="001B19CE" w:rsidRDefault="008F7F8A" w:rsidP="001B19CE">
            <w:pPr>
              <w:pStyle w:val="TableParagraph"/>
              <w:ind w:left="419" w:right="79" w:hanging="306"/>
              <w:jc w:val="center"/>
              <w:rPr>
                <w:b/>
                <w:sz w:val="20"/>
              </w:rPr>
            </w:pPr>
            <w:r>
              <w:rPr>
                <w:b/>
                <w:sz w:val="20"/>
                <w:lang w:val="en-US"/>
              </w:rPr>
              <w:t>2023</w:t>
            </w:r>
          </w:p>
          <w:p w14:paraId="27FE9545" w14:textId="77777777" w:rsidR="00FE3764" w:rsidRDefault="003D4C11" w:rsidP="001B19CE">
            <w:pPr>
              <w:pStyle w:val="TableParagraph"/>
              <w:ind w:left="419" w:right="79" w:hanging="306"/>
              <w:jc w:val="center"/>
              <w:rPr>
                <w:b/>
                <w:sz w:val="20"/>
              </w:rPr>
            </w:pPr>
            <w:r>
              <w:rPr>
                <w:b/>
                <w:spacing w:val="-47"/>
                <w:sz w:val="20"/>
              </w:rPr>
              <w:t xml:space="preserve"> </w:t>
            </w:r>
            <w:r>
              <w:rPr>
                <w:b/>
                <w:sz w:val="20"/>
              </w:rPr>
              <w:t>(факт)</w:t>
            </w:r>
          </w:p>
        </w:tc>
        <w:tc>
          <w:tcPr>
            <w:tcW w:w="1418" w:type="dxa"/>
            <w:shd w:val="clear" w:color="auto" w:fill="E8E8E8"/>
            <w:vAlign w:val="center"/>
          </w:tcPr>
          <w:p w14:paraId="6CB12E63" w14:textId="77777777" w:rsidR="00FE3764" w:rsidRDefault="008F7F8A" w:rsidP="001B19CE">
            <w:pPr>
              <w:pStyle w:val="TableParagraph"/>
              <w:spacing w:before="140"/>
              <w:ind w:left="135" w:right="217" w:hanging="3"/>
              <w:jc w:val="center"/>
              <w:rPr>
                <w:b/>
                <w:sz w:val="20"/>
              </w:rPr>
            </w:pPr>
            <w:r>
              <w:rPr>
                <w:b/>
                <w:sz w:val="20"/>
                <w:lang w:val="en-US"/>
              </w:rPr>
              <w:t xml:space="preserve">2024 </w:t>
            </w:r>
            <w:r w:rsidR="003D4C11">
              <w:rPr>
                <w:b/>
                <w:sz w:val="20"/>
              </w:rPr>
              <w:t>Поточний</w:t>
            </w:r>
            <w:r w:rsidR="003D4C11">
              <w:rPr>
                <w:b/>
                <w:spacing w:val="-47"/>
                <w:sz w:val="20"/>
              </w:rPr>
              <w:t xml:space="preserve"> </w:t>
            </w:r>
            <w:r w:rsidR="003D4C11">
              <w:rPr>
                <w:b/>
                <w:sz w:val="20"/>
              </w:rPr>
              <w:t>рік</w:t>
            </w:r>
            <w:r w:rsidR="003D4C11">
              <w:rPr>
                <w:b/>
                <w:spacing w:val="-11"/>
                <w:sz w:val="20"/>
              </w:rPr>
              <w:t xml:space="preserve"> </w:t>
            </w:r>
            <w:r w:rsidR="003D4C11">
              <w:rPr>
                <w:b/>
                <w:sz w:val="20"/>
              </w:rPr>
              <w:t>(план)</w:t>
            </w:r>
          </w:p>
        </w:tc>
        <w:tc>
          <w:tcPr>
            <w:tcW w:w="1417" w:type="dxa"/>
            <w:shd w:val="clear" w:color="auto" w:fill="E8E8E8"/>
            <w:vAlign w:val="center"/>
          </w:tcPr>
          <w:p w14:paraId="644D8040" w14:textId="77777777" w:rsidR="00FE3764" w:rsidRPr="008F7F8A" w:rsidRDefault="008F7F8A" w:rsidP="001B19CE">
            <w:pPr>
              <w:pStyle w:val="TableParagraph"/>
              <w:spacing w:before="140"/>
              <w:ind w:right="213" w:firstLine="252"/>
              <w:jc w:val="center"/>
              <w:rPr>
                <w:b/>
                <w:sz w:val="20"/>
                <w:lang w:val="en-US"/>
              </w:rPr>
            </w:pPr>
            <w:r>
              <w:rPr>
                <w:b/>
                <w:sz w:val="20"/>
                <w:lang w:val="en-US"/>
              </w:rPr>
              <w:t>2025 (</w:t>
            </w:r>
            <w:r w:rsidR="003D4C11">
              <w:rPr>
                <w:b/>
                <w:sz w:val="20"/>
              </w:rPr>
              <w:t>Плановий</w:t>
            </w:r>
            <w:r w:rsidR="003D4C11">
              <w:rPr>
                <w:b/>
                <w:spacing w:val="-47"/>
                <w:sz w:val="20"/>
              </w:rPr>
              <w:t xml:space="preserve"> </w:t>
            </w:r>
            <w:r w:rsidR="003D4C11">
              <w:rPr>
                <w:b/>
                <w:sz w:val="20"/>
              </w:rPr>
              <w:t>рік</w:t>
            </w:r>
            <w:r>
              <w:rPr>
                <w:b/>
                <w:sz w:val="20"/>
                <w:lang w:val="en-US"/>
              </w:rPr>
              <w:t>)</w:t>
            </w:r>
          </w:p>
        </w:tc>
        <w:tc>
          <w:tcPr>
            <w:tcW w:w="1418" w:type="dxa"/>
            <w:shd w:val="clear" w:color="auto" w:fill="E8E8E8"/>
            <w:vAlign w:val="center"/>
          </w:tcPr>
          <w:p w14:paraId="0C3E13DC" w14:textId="77777777" w:rsidR="00FE3764" w:rsidRDefault="008F7F8A" w:rsidP="001B19CE">
            <w:pPr>
              <w:pStyle w:val="TableParagraph"/>
              <w:spacing w:before="140"/>
              <w:ind w:left="106" w:right="213" w:firstLine="272"/>
              <w:jc w:val="center"/>
              <w:rPr>
                <w:b/>
                <w:sz w:val="20"/>
              </w:rPr>
            </w:pPr>
            <w:r>
              <w:rPr>
                <w:b/>
                <w:sz w:val="20"/>
                <w:lang w:val="en-US"/>
              </w:rPr>
              <w:t xml:space="preserve">2026 </w:t>
            </w:r>
            <w:r w:rsidR="003D4C11">
              <w:rPr>
                <w:b/>
                <w:sz w:val="20"/>
              </w:rPr>
              <w:t>Плановий</w:t>
            </w:r>
            <w:r w:rsidR="003D4C11">
              <w:rPr>
                <w:b/>
                <w:spacing w:val="-47"/>
                <w:sz w:val="20"/>
              </w:rPr>
              <w:t xml:space="preserve"> </w:t>
            </w:r>
            <w:r w:rsidR="003D4C11">
              <w:rPr>
                <w:b/>
                <w:sz w:val="20"/>
              </w:rPr>
              <w:t>рік</w:t>
            </w:r>
            <w:r w:rsidR="003D4C11">
              <w:rPr>
                <w:b/>
                <w:spacing w:val="-2"/>
                <w:sz w:val="20"/>
              </w:rPr>
              <w:t xml:space="preserve"> </w:t>
            </w:r>
            <w:r w:rsidR="003D4C11">
              <w:rPr>
                <w:b/>
                <w:sz w:val="20"/>
              </w:rPr>
              <w:t>+1</w:t>
            </w:r>
          </w:p>
        </w:tc>
        <w:tc>
          <w:tcPr>
            <w:tcW w:w="1486" w:type="dxa"/>
            <w:shd w:val="clear" w:color="auto" w:fill="E8E8E8"/>
            <w:vAlign w:val="center"/>
          </w:tcPr>
          <w:p w14:paraId="448C9505" w14:textId="77777777" w:rsidR="00FE3764" w:rsidRDefault="008F7F8A" w:rsidP="001B19CE">
            <w:pPr>
              <w:pStyle w:val="TableParagraph"/>
              <w:spacing w:before="140"/>
              <w:ind w:left="240" w:right="213" w:firstLine="12"/>
              <w:jc w:val="center"/>
              <w:rPr>
                <w:b/>
                <w:sz w:val="20"/>
              </w:rPr>
            </w:pPr>
            <w:r>
              <w:rPr>
                <w:b/>
                <w:sz w:val="20"/>
                <w:lang w:val="en-US"/>
              </w:rPr>
              <w:t xml:space="preserve">2027 </w:t>
            </w:r>
            <w:r w:rsidR="003D4C11">
              <w:rPr>
                <w:b/>
                <w:sz w:val="20"/>
              </w:rPr>
              <w:t>Плановий</w:t>
            </w:r>
            <w:r w:rsidR="003D4C11">
              <w:rPr>
                <w:b/>
                <w:spacing w:val="-47"/>
                <w:sz w:val="20"/>
              </w:rPr>
              <w:t xml:space="preserve"> </w:t>
            </w:r>
            <w:r w:rsidR="003D4C11">
              <w:rPr>
                <w:b/>
                <w:sz w:val="20"/>
              </w:rPr>
              <w:t>рік</w:t>
            </w:r>
            <w:r w:rsidR="003D4C11">
              <w:rPr>
                <w:b/>
                <w:spacing w:val="-2"/>
                <w:sz w:val="20"/>
              </w:rPr>
              <w:t xml:space="preserve"> </w:t>
            </w:r>
            <w:r w:rsidR="003D4C11">
              <w:rPr>
                <w:b/>
                <w:sz w:val="20"/>
              </w:rPr>
              <w:t>+2</w:t>
            </w:r>
          </w:p>
        </w:tc>
      </w:tr>
      <w:tr w:rsidR="00FE3764" w14:paraId="64CCBEB0" w14:textId="77777777" w:rsidTr="0088630C">
        <w:trPr>
          <w:trHeight w:val="452"/>
          <w:jc w:val="center"/>
        </w:trPr>
        <w:tc>
          <w:tcPr>
            <w:tcW w:w="10270" w:type="dxa"/>
            <w:gridSpan w:val="6"/>
          </w:tcPr>
          <w:p w14:paraId="3C034722" w14:textId="77777777" w:rsidR="00FE3764" w:rsidRPr="00F31304" w:rsidRDefault="003D4C11">
            <w:pPr>
              <w:pStyle w:val="TableParagraph"/>
              <w:spacing w:before="140"/>
              <w:ind w:left="3472" w:right="3504"/>
              <w:jc w:val="center"/>
              <w:rPr>
                <w:b/>
              </w:rPr>
            </w:pPr>
            <w:r w:rsidRPr="00F31304">
              <w:rPr>
                <w:b/>
              </w:rPr>
              <w:t>ФІНАНСОВІ</w:t>
            </w:r>
            <w:r w:rsidRPr="00F31304">
              <w:rPr>
                <w:b/>
                <w:spacing w:val="-1"/>
              </w:rPr>
              <w:t xml:space="preserve"> </w:t>
            </w:r>
            <w:r w:rsidRPr="00F31304">
              <w:rPr>
                <w:b/>
              </w:rPr>
              <w:t>ПОКАЗНИКИ</w:t>
            </w:r>
          </w:p>
        </w:tc>
      </w:tr>
      <w:tr w:rsidR="00FE3764" w14:paraId="5C518B29" w14:textId="77777777" w:rsidTr="00654368">
        <w:trPr>
          <w:trHeight w:val="223"/>
          <w:jc w:val="center"/>
        </w:trPr>
        <w:tc>
          <w:tcPr>
            <w:tcW w:w="10270" w:type="dxa"/>
            <w:gridSpan w:val="6"/>
            <w:vAlign w:val="center"/>
          </w:tcPr>
          <w:p w14:paraId="1DBC4FE3" w14:textId="77777777" w:rsidR="00FE3764" w:rsidRPr="003C0563" w:rsidRDefault="003D4C11">
            <w:pPr>
              <w:pStyle w:val="TableParagraph"/>
              <w:spacing w:before="140"/>
              <w:ind w:left="115"/>
              <w:rPr>
                <w:b/>
                <w:i/>
              </w:rPr>
            </w:pPr>
            <w:r w:rsidRPr="003C0563">
              <w:rPr>
                <w:b/>
                <w:i/>
              </w:rPr>
              <w:t>Основні</w:t>
            </w:r>
            <w:r w:rsidRPr="003C0563">
              <w:rPr>
                <w:b/>
                <w:i/>
                <w:spacing w:val="-5"/>
              </w:rPr>
              <w:t xml:space="preserve"> </w:t>
            </w:r>
            <w:r w:rsidRPr="003C0563">
              <w:rPr>
                <w:b/>
                <w:i/>
              </w:rPr>
              <w:t>фінансові</w:t>
            </w:r>
            <w:r w:rsidRPr="003C0563">
              <w:rPr>
                <w:b/>
                <w:i/>
                <w:spacing w:val="-4"/>
              </w:rPr>
              <w:t xml:space="preserve"> </w:t>
            </w:r>
            <w:r w:rsidRPr="003C0563">
              <w:rPr>
                <w:b/>
                <w:i/>
              </w:rPr>
              <w:t>показники</w:t>
            </w:r>
          </w:p>
        </w:tc>
      </w:tr>
      <w:tr w:rsidR="00014DBD" w14:paraId="26CA4E15" w14:textId="77777777" w:rsidTr="00654368">
        <w:trPr>
          <w:trHeight w:val="229"/>
          <w:jc w:val="center"/>
        </w:trPr>
        <w:tc>
          <w:tcPr>
            <w:tcW w:w="10270" w:type="dxa"/>
            <w:gridSpan w:val="6"/>
            <w:vAlign w:val="center"/>
          </w:tcPr>
          <w:p w14:paraId="3F54799D" w14:textId="77777777" w:rsidR="00014DBD" w:rsidRPr="00F31304" w:rsidRDefault="00014DBD" w:rsidP="00F31304">
            <w:pPr>
              <w:pStyle w:val="TableParagraph"/>
              <w:spacing w:before="140"/>
              <w:ind w:left="115"/>
              <w:rPr>
                <w:b/>
              </w:rPr>
            </w:pPr>
            <w:r w:rsidRPr="00F31304">
              <w:rPr>
                <w:b/>
              </w:rPr>
              <w:t>Коефіцієнти рентабельності:</w:t>
            </w:r>
          </w:p>
        </w:tc>
      </w:tr>
      <w:tr w:rsidR="00FE3764" w14:paraId="4AAB18C7" w14:textId="77777777" w:rsidTr="00335D8C">
        <w:trPr>
          <w:trHeight w:val="558"/>
          <w:jc w:val="center"/>
        </w:trPr>
        <w:tc>
          <w:tcPr>
            <w:tcW w:w="3114" w:type="dxa"/>
            <w:vAlign w:val="center"/>
          </w:tcPr>
          <w:p w14:paraId="3A22517F" w14:textId="77777777" w:rsidR="00FE3764" w:rsidRPr="003C0563" w:rsidRDefault="009823F3">
            <w:pPr>
              <w:pStyle w:val="TableParagraph"/>
              <w:spacing w:before="140"/>
              <w:ind w:left="115" w:right="427"/>
            </w:pPr>
            <w:r w:rsidRPr="009823F3">
              <w:rPr>
                <w:spacing w:val="-1"/>
              </w:rPr>
              <w:t>Коефіцієнт рентабельності власного капіталу</w:t>
            </w:r>
          </w:p>
        </w:tc>
        <w:tc>
          <w:tcPr>
            <w:tcW w:w="1417" w:type="dxa"/>
            <w:vAlign w:val="center"/>
          </w:tcPr>
          <w:p w14:paraId="519D551E" w14:textId="77777777" w:rsidR="00FE3764" w:rsidRPr="009823F3" w:rsidRDefault="00CC6ACD" w:rsidP="009823F3">
            <w:pPr>
              <w:pStyle w:val="TableParagraph"/>
              <w:jc w:val="center"/>
              <w:rPr>
                <w:lang w:val="en-US"/>
              </w:rPr>
            </w:pPr>
            <w:r w:rsidRPr="003C0563">
              <w:t>0,0</w:t>
            </w:r>
            <w:r w:rsidR="009823F3">
              <w:rPr>
                <w:lang w:val="en-US"/>
              </w:rPr>
              <w:t>3</w:t>
            </w:r>
          </w:p>
        </w:tc>
        <w:tc>
          <w:tcPr>
            <w:tcW w:w="1418" w:type="dxa"/>
            <w:vAlign w:val="center"/>
          </w:tcPr>
          <w:p w14:paraId="1BD753E4" w14:textId="77777777" w:rsidR="00FE3764" w:rsidRPr="003C0563" w:rsidRDefault="00CC6ACD" w:rsidP="009823F3">
            <w:pPr>
              <w:pStyle w:val="TableParagraph"/>
              <w:jc w:val="center"/>
            </w:pPr>
            <w:r w:rsidRPr="003C0563">
              <w:t>0,0</w:t>
            </w:r>
            <w:r w:rsidR="00E73AA4" w:rsidRPr="003C0563">
              <w:t>2</w:t>
            </w:r>
          </w:p>
        </w:tc>
        <w:tc>
          <w:tcPr>
            <w:tcW w:w="1417" w:type="dxa"/>
            <w:vAlign w:val="center"/>
          </w:tcPr>
          <w:p w14:paraId="2EBA0C33" w14:textId="77777777" w:rsidR="00FE3764" w:rsidRPr="003C0563" w:rsidRDefault="00CC6ACD" w:rsidP="009823F3">
            <w:pPr>
              <w:pStyle w:val="TableParagraph"/>
              <w:jc w:val="center"/>
            </w:pPr>
            <w:r w:rsidRPr="003C0563">
              <w:t>0,02</w:t>
            </w:r>
          </w:p>
        </w:tc>
        <w:tc>
          <w:tcPr>
            <w:tcW w:w="1418" w:type="dxa"/>
            <w:vAlign w:val="center"/>
          </w:tcPr>
          <w:p w14:paraId="3272C71C" w14:textId="77777777" w:rsidR="00FE3764" w:rsidRPr="009823F3" w:rsidRDefault="00CC6ACD" w:rsidP="009823F3">
            <w:pPr>
              <w:pStyle w:val="TableParagraph"/>
              <w:jc w:val="center"/>
              <w:rPr>
                <w:lang w:val="en-US"/>
              </w:rPr>
            </w:pPr>
            <w:r w:rsidRPr="003C0563">
              <w:t>0,0</w:t>
            </w:r>
            <w:r w:rsidR="009823F3">
              <w:rPr>
                <w:lang w:val="en-US"/>
              </w:rPr>
              <w:t>2</w:t>
            </w:r>
          </w:p>
        </w:tc>
        <w:tc>
          <w:tcPr>
            <w:tcW w:w="1486" w:type="dxa"/>
            <w:vAlign w:val="center"/>
          </w:tcPr>
          <w:p w14:paraId="784D5B0E" w14:textId="77777777" w:rsidR="00FE3764" w:rsidRPr="009823F3" w:rsidRDefault="00CC6ACD" w:rsidP="009823F3">
            <w:pPr>
              <w:pStyle w:val="TableParagraph"/>
              <w:jc w:val="center"/>
              <w:rPr>
                <w:lang w:val="en-US"/>
              </w:rPr>
            </w:pPr>
            <w:r w:rsidRPr="003C0563">
              <w:t>0,0</w:t>
            </w:r>
            <w:r w:rsidR="009823F3">
              <w:rPr>
                <w:lang w:val="en-US"/>
              </w:rPr>
              <w:t>2</w:t>
            </w:r>
          </w:p>
        </w:tc>
      </w:tr>
      <w:tr w:rsidR="00014DBD" w:rsidRPr="0088630C" w14:paraId="293C319C" w14:textId="77777777" w:rsidTr="0088630C">
        <w:trPr>
          <w:trHeight w:val="371"/>
          <w:jc w:val="center"/>
        </w:trPr>
        <w:tc>
          <w:tcPr>
            <w:tcW w:w="10270" w:type="dxa"/>
            <w:gridSpan w:val="6"/>
            <w:vAlign w:val="center"/>
          </w:tcPr>
          <w:p w14:paraId="20E26B54" w14:textId="77777777" w:rsidR="00014DBD" w:rsidRPr="003C0563" w:rsidRDefault="00014DBD" w:rsidP="00F31304">
            <w:pPr>
              <w:pStyle w:val="TableParagraph"/>
              <w:spacing w:before="140"/>
              <w:ind w:left="115"/>
              <w:rPr>
                <w:b/>
              </w:rPr>
            </w:pPr>
            <w:r w:rsidRPr="003C0563">
              <w:rPr>
                <w:b/>
              </w:rPr>
              <w:t>Коефіцієнти платоспроможності:</w:t>
            </w:r>
          </w:p>
        </w:tc>
      </w:tr>
      <w:tr w:rsidR="0088630C" w14:paraId="31909A66" w14:textId="77777777" w:rsidTr="00335D8C">
        <w:trPr>
          <w:trHeight w:val="544"/>
          <w:jc w:val="center"/>
        </w:trPr>
        <w:tc>
          <w:tcPr>
            <w:tcW w:w="3114" w:type="dxa"/>
          </w:tcPr>
          <w:p w14:paraId="0547FB14" w14:textId="77777777" w:rsidR="00FE3764" w:rsidRPr="003C0563" w:rsidRDefault="003D4C11" w:rsidP="008E09F0">
            <w:pPr>
              <w:pStyle w:val="TableParagraph"/>
              <w:spacing w:before="140"/>
              <w:ind w:left="115"/>
            </w:pPr>
            <w:r w:rsidRPr="003C0563">
              <w:t>коефіцієнт фінансової стійкості</w:t>
            </w:r>
          </w:p>
        </w:tc>
        <w:tc>
          <w:tcPr>
            <w:tcW w:w="1417" w:type="dxa"/>
            <w:vAlign w:val="center"/>
          </w:tcPr>
          <w:p w14:paraId="3577D3BB" w14:textId="77777777" w:rsidR="00FE3764" w:rsidRPr="003C0563" w:rsidRDefault="00CC6ACD" w:rsidP="00943B39">
            <w:pPr>
              <w:pStyle w:val="TableParagraph"/>
              <w:jc w:val="center"/>
            </w:pPr>
            <w:r w:rsidRPr="003C0563">
              <w:t>5,2</w:t>
            </w:r>
          </w:p>
        </w:tc>
        <w:tc>
          <w:tcPr>
            <w:tcW w:w="1418" w:type="dxa"/>
            <w:vAlign w:val="center"/>
          </w:tcPr>
          <w:p w14:paraId="51027FE1" w14:textId="77777777" w:rsidR="00FE3764" w:rsidRPr="003C0563" w:rsidRDefault="008C6E80" w:rsidP="00943B39">
            <w:pPr>
              <w:pStyle w:val="TableParagraph"/>
              <w:jc w:val="center"/>
            </w:pPr>
            <w:r w:rsidRPr="003C0563">
              <w:t>5,6</w:t>
            </w:r>
          </w:p>
        </w:tc>
        <w:tc>
          <w:tcPr>
            <w:tcW w:w="1417" w:type="dxa"/>
            <w:vAlign w:val="center"/>
          </w:tcPr>
          <w:p w14:paraId="67F0B77F" w14:textId="77777777" w:rsidR="00FE3764" w:rsidRPr="003C0563" w:rsidRDefault="008C6E80" w:rsidP="00943B39">
            <w:pPr>
              <w:pStyle w:val="TableParagraph"/>
              <w:jc w:val="center"/>
            </w:pPr>
            <w:r w:rsidRPr="003C0563">
              <w:t>5,3</w:t>
            </w:r>
          </w:p>
        </w:tc>
        <w:tc>
          <w:tcPr>
            <w:tcW w:w="1418" w:type="dxa"/>
            <w:shd w:val="clear" w:color="auto" w:fill="auto"/>
            <w:vAlign w:val="center"/>
          </w:tcPr>
          <w:p w14:paraId="18BC7E65" w14:textId="77777777" w:rsidR="00FE3764" w:rsidRPr="004419CB" w:rsidRDefault="00C9317D" w:rsidP="004419CB">
            <w:pPr>
              <w:pStyle w:val="TableParagraph"/>
              <w:jc w:val="center"/>
              <w:rPr>
                <w:lang w:val="en-US"/>
              </w:rPr>
            </w:pPr>
            <w:r w:rsidRPr="004E2B07">
              <w:t>5,</w:t>
            </w:r>
            <w:r w:rsidR="004419CB">
              <w:rPr>
                <w:lang w:val="en-US"/>
              </w:rPr>
              <w:t>3</w:t>
            </w:r>
          </w:p>
        </w:tc>
        <w:tc>
          <w:tcPr>
            <w:tcW w:w="1486" w:type="dxa"/>
            <w:shd w:val="clear" w:color="auto" w:fill="auto"/>
            <w:vAlign w:val="center"/>
          </w:tcPr>
          <w:p w14:paraId="1249BAD1" w14:textId="77777777" w:rsidR="00FE3764" w:rsidRPr="004419CB" w:rsidRDefault="00C9317D" w:rsidP="004419CB">
            <w:pPr>
              <w:pStyle w:val="TableParagraph"/>
              <w:jc w:val="center"/>
              <w:rPr>
                <w:lang w:val="en-US"/>
              </w:rPr>
            </w:pPr>
            <w:r w:rsidRPr="004E2B07">
              <w:t>5,</w:t>
            </w:r>
            <w:r w:rsidR="004419CB">
              <w:rPr>
                <w:lang w:val="en-US"/>
              </w:rPr>
              <w:t>3</w:t>
            </w:r>
          </w:p>
        </w:tc>
      </w:tr>
      <w:tr w:rsidR="00014DBD" w14:paraId="33FC035F" w14:textId="77777777" w:rsidTr="0088630C">
        <w:trPr>
          <w:trHeight w:val="345"/>
          <w:jc w:val="center"/>
        </w:trPr>
        <w:tc>
          <w:tcPr>
            <w:tcW w:w="10270" w:type="dxa"/>
            <w:gridSpan w:val="6"/>
            <w:shd w:val="clear" w:color="auto" w:fill="auto"/>
            <w:vAlign w:val="center"/>
          </w:tcPr>
          <w:p w14:paraId="138016EB" w14:textId="77777777" w:rsidR="00014DBD" w:rsidRPr="004E2B07" w:rsidRDefault="00014DBD" w:rsidP="00F31304">
            <w:pPr>
              <w:pStyle w:val="TableParagraph"/>
              <w:spacing w:before="140"/>
              <w:ind w:left="115"/>
            </w:pPr>
            <w:r w:rsidRPr="004E2B07">
              <w:rPr>
                <w:b/>
              </w:rPr>
              <w:t>Коефіцієнти ліквідності:</w:t>
            </w:r>
          </w:p>
        </w:tc>
      </w:tr>
      <w:tr w:rsidR="0088630C" w14:paraId="53A25D0F" w14:textId="77777777" w:rsidTr="00335D8C">
        <w:trPr>
          <w:trHeight w:val="545"/>
          <w:jc w:val="center"/>
        </w:trPr>
        <w:tc>
          <w:tcPr>
            <w:tcW w:w="3114" w:type="dxa"/>
          </w:tcPr>
          <w:p w14:paraId="661A30B8" w14:textId="77777777" w:rsidR="00FE3764" w:rsidRPr="003C0563" w:rsidRDefault="003D4C11">
            <w:pPr>
              <w:pStyle w:val="TableParagraph"/>
              <w:spacing w:before="140"/>
              <w:ind w:left="115" w:right="951"/>
            </w:pPr>
            <w:r w:rsidRPr="003C0563">
              <w:t>коефіцієнт поточної</w:t>
            </w:r>
            <w:r w:rsidRPr="003C0563">
              <w:rPr>
                <w:spacing w:val="-48"/>
              </w:rPr>
              <w:t xml:space="preserve"> </w:t>
            </w:r>
            <w:r w:rsidRPr="003C0563">
              <w:t>ліквідності</w:t>
            </w:r>
          </w:p>
        </w:tc>
        <w:tc>
          <w:tcPr>
            <w:tcW w:w="1417" w:type="dxa"/>
            <w:vAlign w:val="center"/>
          </w:tcPr>
          <w:p w14:paraId="15CC018D" w14:textId="77777777" w:rsidR="00FE3764" w:rsidRPr="003C0563" w:rsidRDefault="00CC6ACD" w:rsidP="00943B39">
            <w:pPr>
              <w:pStyle w:val="TableParagraph"/>
              <w:jc w:val="center"/>
            </w:pPr>
            <w:r w:rsidRPr="003C0563">
              <w:t>1,3</w:t>
            </w:r>
          </w:p>
        </w:tc>
        <w:tc>
          <w:tcPr>
            <w:tcW w:w="1418" w:type="dxa"/>
            <w:vAlign w:val="center"/>
          </w:tcPr>
          <w:p w14:paraId="4E64379E" w14:textId="77777777" w:rsidR="00FE3764" w:rsidRPr="003C0563" w:rsidRDefault="00087A99" w:rsidP="00943B39">
            <w:pPr>
              <w:pStyle w:val="TableParagraph"/>
              <w:jc w:val="center"/>
            </w:pPr>
            <w:r w:rsidRPr="003C0563">
              <w:t>1,7</w:t>
            </w:r>
          </w:p>
        </w:tc>
        <w:tc>
          <w:tcPr>
            <w:tcW w:w="1417" w:type="dxa"/>
            <w:vAlign w:val="center"/>
          </w:tcPr>
          <w:p w14:paraId="75B6877B" w14:textId="77777777" w:rsidR="00FE3764" w:rsidRPr="003C0563" w:rsidRDefault="00087A99" w:rsidP="00943B39">
            <w:pPr>
              <w:pStyle w:val="TableParagraph"/>
              <w:jc w:val="center"/>
            </w:pPr>
            <w:r w:rsidRPr="003C0563">
              <w:t>1,1</w:t>
            </w:r>
          </w:p>
        </w:tc>
        <w:tc>
          <w:tcPr>
            <w:tcW w:w="1418" w:type="dxa"/>
            <w:shd w:val="clear" w:color="auto" w:fill="auto"/>
            <w:vAlign w:val="center"/>
          </w:tcPr>
          <w:p w14:paraId="767866C7" w14:textId="77777777" w:rsidR="00FE3764" w:rsidRPr="004E2B07" w:rsidRDefault="00C9317D" w:rsidP="00943B39">
            <w:pPr>
              <w:pStyle w:val="TableParagraph"/>
              <w:jc w:val="center"/>
            </w:pPr>
            <w:r w:rsidRPr="004E2B07">
              <w:t>1,1</w:t>
            </w:r>
          </w:p>
        </w:tc>
        <w:tc>
          <w:tcPr>
            <w:tcW w:w="1486" w:type="dxa"/>
            <w:shd w:val="clear" w:color="auto" w:fill="auto"/>
            <w:vAlign w:val="center"/>
          </w:tcPr>
          <w:p w14:paraId="040BCC1E" w14:textId="77777777" w:rsidR="00FE3764" w:rsidRPr="004E2B07" w:rsidRDefault="00C9317D" w:rsidP="00943B39">
            <w:pPr>
              <w:pStyle w:val="TableParagraph"/>
              <w:jc w:val="center"/>
            </w:pPr>
            <w:r w:rsidRPr="004E2B07">
              <w:t>1,1</w:t>
            </w:r>
          </w:p>
        </w:tc>
      </w:tr>
      <w:tr w:rsidR="00FE3764" w14:paraId="1BAA08D2" w14:textId="77777777" w:rsidTr="0088630C">
        <w:trPr>
          <w:trHeight w:val="509"/>
          <w:jc w:val="center"/>
        </w:trPr>
        <w:tc>
          <w:tcPr>
            <w:tcW w:w="10270" w:type="dxa"/>
            <w:gridSpan w:val="6"/>
            <w:shd w:val="clear" w:color="auto" w:fill="auto"/>
          </w:tcPr>
          <w:p w14:paraId="16D8F134" w14:textId="77777777" w:rsidR="00FE3764" w:rsidRPr="004E2B07" w:rsidRDefault="003D4C11">
            <w:pPr>
              <w:pStyle w:val="TableParagraph"/>
              <w:spacing w:before="140"/>
              <w:ind w:left="115"/>
              <w:rPr>
                <w:b/>
                <w:i/>
              </w:rPr>
            </w:pPr>
            <w:r w:rsidRPr="004E2B07">
              <w:rPr>
                <w:b/>
                <w:i/>
              </w:rPr>
              <w:t>Виплати</w:t>
            </w:r>
            <w:r w:rsidRPr="004E2B07">
              <w:rPr>
                <w:b/>
                <w:i/>
                <w:spacing w:val="-3"/>
              </w:rPr>
              <w:t xml:space="preserve"> </w:t>
            </w:r>
            <w:r w:rsidRPr="004E2B07">
              <w:rPr>
                <w:b/>
                <w:i/>
              </w:rPr>
              <w:t>на</w:t>
            </w:r>
            <w:r w:rsidRPr="004E2B07">
              <w:rPr>
                <w:b/>
                <w:i/>
                <w:spacing w:val="-4"/>
              </w:rPr>
              <w:t xml:space="preserve"> </w:t>
            </w:r>
            <w:r w:rsidRPr="004E2B07">
              <w:rPr>
                <w:b/>
                <w:i/>
              </w:rPr>
              <w:t>користь</w:t>
            </w:r>
            <w:r w:rsidRPr="004E2B07">
              <w:rPr>
                <w:b/>
                <w:i/>
                <w:spacing w:val="-3"/>
              </w:rPr>
              <w:t xml:space="preserve"> </w:t>
            </w:r>
            <w:r w:rsidRPr="004E2B07">
              <w:rPr>
                <w:b/>
                <w:i/>
              </w:rPr>
              <w:t>держави,</w:t>
            </w:r>
            <w:r w:rsidRPr="004E2B07">
              <w:rPr>
                <w:b/>
                <w:i/>
                <w:spacing w:val="-4"/>
              </w:rPr>
              <w:t xml:space="preserve"> </w:t>
            </w:r>
            <w:r w:rsidRPr="004E2B07">
              <w:rPr>
                <w:b/>
                <w:i/>
              </w:rPr>
              <w:t>тис.</w:t>
            </w:r>
            <w:r w:rsidRPr="004E2B07">
              <w:rPr>
                <w:b/>
                <w:i/>
                <w:spacing w:val="-3"/>
              </w:rPr>
              <w:t xml:space="preserve"> </w:t>
            </w:r>
            <w:r w:rsidRPr="004E2B07">
              <w:rPr>
                <w:b/>
                <w:i/>
              </w:rPr>
              <w:t>грн</w:t>
            </w:r>
            <w:r w:rsidRPr="004E2B07">
              <w:rPr>
                <w:b/>
                <w:i/>
                <w:spacing w:val="-3"/>
              </w:rPr>
              <w:t xml:space="preserve"> </w:t>
            </w:r>
            <w:r w:rsidRPr="004E2B07">
              <w:rPr>
                <w:b/>
                <w:i/>
              </w:rPr>
              <w:t>(включаються</w:t>
            </w:r>
            <w:r w:rsidRPr="004E2B07">
              <w:rPr>
                <w:b/>
                <w:i/>
                <w:spacing w:val="-3"/>
              </w:rPr>
              <w:t xml:space="preserve"> </w:t>
            </w:r>
            <w:r w:rsidRPr="004E2B07">
              <w:rPr>
                <w:b/>
                <w:i/>
              </w:rPr>
              <w:t>з</w:t>
            </w:r>
            <w:r w:rsidRPr="004E2B07">
              <w:rPr>
                <w:b/>
                <w:i/>
                <w:spacing w:val="-4"/>
              </w:rPr>
              <w:t xml:space="preserve"> </w:t>
            </w:r>
            <w:r w:rsidRPr="004E2B07">
              <w:rPr>
                <w:b/>
                <w:i/>
              </w:rPr>
              <w:t>метою</w:t>
            </w:r>
            <w:r w:rsidRPr="004E2B07">
              <w:rPr>
                <w:b/>
                <w:i/>
                <w:spacing w:val="-4"/>
              </w:rPr>
              <w:t xml:space="preserve"> </w:t>
            </w:r>
            <w:r w:rsidRPr="004E2B07">
              <w:rPr>
                <w:b/>
                <w:i/>
              </w:rPr>
              <w:t>моніторингу,</w:t>
            </w:r>
            <w:r w:rsidRPr="004E2B07">
              <w:rPr>
                <w:b/>
                <w:i/>
                <w:spacing w:val="-4"/>
              </w:rPr>
              <w:t xml:space="preserve"> </w:t>
            </w:r>
            <w:r w:rsidRPr="004E2B07">
              <w:rPr>
                <w:b/>
                <w:i/>
              </w:rPr>
              <w:t>крім</w:t>
            </w:r>
            <w:r w:rsidRPr="004E2B07">
              <w:rPr>
                <w:b/>
                <w:i/>
                <w:spacing w:val="-3"/>
              </w:rPr>
              <w:t xml:space="preserve"> </w:t>
            </w:r>
            <w:r w:rsidRPr="004E2B07">
              <w:rPr>
                <w:b/>
                <w:i/>
              </w:rPr>
              <w:t>дивідендів)</w:t>
            </w:r>
          </w:p>
        </w:tc>
      </w:tr>
      <w:tr w:rsidR="0088630C" w14:paraId="5D5026BB" w14:textId="77777777" w:rsidTr="00335D8C">
        <w:trPr>
          <w:trHeight w:val="509"/>
          <w:jc w:val="center"/>
        </w:trPr>
        <w:tc>
          <w:tcPr>
            <w:tcW w:w="3114" w:type="dxa"/>
          </w:tcPr>
          <w:p w14:paraId="65212B37" w14:textId="77777777" w:rsidR="00FE3764" w:rsidRPr="003C0563" w:rsidRDefault="003D4C11">
            <w:pPr>
              <w:pStyle w:val="TableParagraph"/>
              <w:spacing w:before="140"/>
              <w:ind w:left="115"/>
              <w:rPr>
                <w:b/>
              </w:rPr>
            </w:pPr>
            <w:r w:rsidRPr="003C0563">
              <w:rPr>
                <w:b/>
              </w:rPr>
              <w:t>Податкові,</w:t>
            </w:r>
            <w:r w:rsidRPr="003C0563">
              <w:rPr>
                <w:b/>
                <w:spacing w:val="-3"/>
              </w:rPr>
              <w:t xml:space="preserve"> </w:t>
            </w:r>
            <w:r w:rsidRPr="003C0563">
              <w:rPr>
                <w:b/>
              </w:rPr>
              <w:t>разом,</w:t>
            </w:r>
            <w:r w:rsidRPr="003C0563">
              <w:rPr>
                <w:b/>
                <w:spacing w:val="-3"/>
              </w:rPr>
              <w:t xml:space="preserve"> </w:t>
            </w:r>
            <w:r w:rsidRPr="003C0563">
              <w:rPr>
                <w:b/>
              </w:rPr>
              <w:t>з</w:t>
            </w:r>
            <w:r w:rsidRPr="003C0563">
              <w:rPr>
                <w:b/>
                <w:spacing w:val="-2"/>
              </w:rPr>
              <w:t xml:space="preserve"> </w:t>
            </w:r>
            <w:r w:rsidRPr="003C0563">
              <w:rPr>
                <w:b/>
              </w:rPr>
              <w:t>них:</w:t>
            </w:r>
          </w:p>
        </w:tc>
        <w:tc>
          <w:tcPr>
            <w:tcW w:w="1417" w:type="dxa"/>
            <w:vAlign w:val="center"/>
          </w:tcPr>
          <w:p w14:paraId="4483CF65" w14:textId="77777777" w:rsidR="00FE3764" w:rsidRPr="003C0563" w:rsidRDefault="000E23F4" w:rsidP="00FB04AD">
            <w:pPr>
              <w:pStyle w:val="TableParagraph"/>
              <w:jc w:val="center"/>
              <w:rPr>
                <w:b/>
              </w:rPr>
            </w:pPr>
            <w:r w:rsidRPr="003C0563">
              <w:rPr>
                <w:b/>
              </w:rPr>
              <w:t>261 489,0</w:t>
            </w:r>
          </w:p>
        </w:tc>
        <w:tc>
          <w:tcPr>
            <w:tcW w:w="1418" w:type="dxa"/>
            <w:vAlign w:val="center"/>
          </w:tcPr>
          <w:p w14:paraId="0FB83D8C" w14:textId="77777777" w:rsidR="00FE3764" w:rsidRPr="003C0563" w:rsidRDefault="007646FB" w:rsidP="00A92B9C">
            <w:pPr>
              <w:pStyle w:val="TableParagraph"/>
              <w:jc w:val="center"/>
              <w:rPr>
                <w:b/>
              </w:rPr>
            </w:pPr>
            <w:r>
              <w:rPr>
                <w:b/>
              </w:rPr>
              <w:t>218</w:t>
            </w:r>
            <w:r w:rsidR="00A92B9C">
              <w:rPr>
                <w:b/>
              </w:rPr>
              <w:t> 054,0</w:t>
            </w:r>
          </w:p>
        </w:tc>
        <w:tc>
          <w:tcPr>
            <w:tcW w:w="1417" w:type="dxa"/>
            <w:vAlign w:val="center"/>
          </w:tcPr>
          <w:p w14:paraId="2A1DCDE5" w14:textId="77777777" w:rsidR="00FE3764" w:rsidRPr="003C0563" w:rsidRDefault="000E23F4" w:rsidP="00FB04AD">
            <w:pPr>
              <w:pStyle w:val="TableParagraph"/>
              <w:jc w:val="center"/>
              <w:rPr>
                <w:b/>
              </w:rPr>
            </w:pPr>
            <w:r w:rsidRPr="003C0563">
              <w:rPr>
                <w:b/>
              </w:rPr>
              <w:t>212 493,0</w:t>
            </w:r>
          </w:p>
        </w:tc>
        <w:tc>
          <w:tcPr>
            <w:tcW w:w="1418" w:type="dxa"/>
            <w:shd w:val="clear" w:color="auto" w:fill="auto"/>
            <w:vAlign w:val="center"/>
          </w:tcPr>
          <w:p w14:paraId="5470A035" w14:textId="77777777" w:rsidR="00FE3764" w:rsidRPr="006D0B34" w:rsidRDefault="00101484" w:rsidP="00314326">
            <w:pPr>
              <w:pStyle w:val="TableParagraph"/>
              <w:jc w:val="center"/>
              <w:rPr>
                <w:b/>
              </w:rPr>
            </w:pPr>
            <w:r w:rsidRPr="006D0B34">
              <w:rPr>
                <w:b/>
              </w:rPr>
              <w:t>200 500,0</w:t>
            </w:r>
          </w:p>
        </w:tc>
        <w:tc>
          <w:tcPr>
            <w:tcW w:w="1486" w:type="dxa"/>
            <w:shd w:val="clear" w:color="auto" w:fill="auto"/>
            <w:vAlign w:val="center"/>
          </w:tcPr>
          <w:p w14:paraId="7FBEFF2C" w14:textId="77777777" w:rsidR="00FE3764" w:rsidRPr="006D0B34" w:rsidRDefault="00101484" w:rsidP="00314326">
            <w:pPr>
              <w:pStyle w:val="TableParagraph"/>
              <w:jc w:val="center"/>
              <w:rPr>
                <w:b/>
                <w:lang w:val="en-US"/>
              </w:rPr>
            </w:pPr>
            <w:r w:rsidRPr="006D0B34">
              <w:rPr>
                <w:b/>
              </w:rPr>
              <w:t>200 500,0</w:t>
            </w:r>
          </w:p>
        </w:tc>
      </w:tr>
      <w:tr w:rsidR="0088630C" w14:paraId="763AF0CB" w14:textId="77777777" w:rsidTr="00335D8C">
        <w:trPr>
          <w:trHeight w:val="509"/>
          <w:jc w:val="center"/>
        </w:trPr>
        <w:tc>
          <w:tcPr>
            <w:tcW w:w="3114" w:type="dxa"/>
          </w:tcPr>
          <w:p w14:paraId="66EAB590" w14:textId="77777777" w:rsidR="00FE3764" w:rsidRPr="003C0563" w:rsidRDefault="003D4C11">
            <w:pPr>
              <w:pStyle w:val="TableParagraph"/>
              <w:spacing w:before="140"/>
              <w:ind w:left="115"/>
            </w:pPr>
            <w:r w:rsidRPr="003C0563">
              <w:t>Податок</w:t>
            </w:r>
            <w:r w:rsidRPr="003C0563">
              <w:rPr>
                <w:spacing w:val="-6"/>
              </w:rPr>
              <w:t xml:space="preserve"> </w:t>
            </w:r>
            <w:r w:rsidRPr="003C0563">
              <w:t>на</w:t>
            </w:r>
            <w:r w:rsidRPr="003C0563">
              <w:rPr>
                <w:spacing w:val="-5"/>
              </w:rPr>
              <w:t xml:space="preserve"> </w:t>
            </w:r>
            <w:r w:rsidRPr="003C0563">
              <w:t>прибуток</w:t>
            </w:r>
          </w:p>
        </w:tc>
        <w:tc>
          <w:tcPr>
            <w:tcW w:w="1417" w:type="dxa"/>
            <w:vAlign w:val="center"/>
          </w:tcPr>
          <w:p w14:paraId="55444927" w14:textId="77777777" w:rsidR="00FE3764" w:rsidRPr="003C0563" w:rsidRDefault="000E23F4" w:rsidP="00FB04AD">
            <w:pPr>
              <w:pStyle w:val="TableParagraph"/>
              <w:jc w:val="center"/>
            </w:pPr>
            <w:r w:rsidRPr="003C0563">
              <w:t>36 706,0</w:t>
            </w:r>
          </w:p>
        </w:tc>
        <w:tc>
          <w:tcPr>
            <w:tcW w:w="1418" w:type="dxa"/>
            <w:vAlign w:val="center"/>
          </w:tcPr>
          <w:p w14:paraId="37B72FF7" w14:textId="77777777" w:rsidR="00FE3764" w:rsidRPr="007646FB" w:rsidRDefault="007646FB" w:rsidP="00FB04AD">
            <w:pPr>
              <w:pStyle w:val="TableParagraph"/>
              <w:jc w:val="center"/>
            </w:pPr>
            <w:r>
              <w:rPr>
                <w:lang w:val="en-US"/>
              </w:rPr>
              <w:t>10 512</w:t>
            </w:r>
            <w:r>
              <w:t>,0</w:t>
            </w:r>
          </w:p>
        </w:tc>
        <w:tc>
          <w:tcPr>
            <w:tcW w:w="1417" w:type="dxa"/>
            <w:vAlign w:val="center"/>
          </w:tcPr>
          <w:p w14:paraId="09B7E58F" w14:textId="77777777" w:rsidR="00FE3764" w:rsidRPr="003C0563" w:rsidRDefault="000E23F4" w:rsidP="00FB04AD">
            <w:pPr>
              <w:pStyle w:val="TableParagraph"/>
              <w:jc w:val="center"/>
            </w:pPr>
            <w:r w:rsidRPr="003C0563">
              <w:t>12 089,0</w:t>
            </w:r>
          </w:p>
        </w:tc>
        <w:tc>
          <w:tcPr>
            <w:tcW w:w="1418" w:type="dxa"/>
            <w:shd w:val="clear" w:color="auto" w:fill="auto"/>
            <w:vAlign w:val="center"/>
          </w:tcPr>
          <w:p w14:paraId="6EEE55B8" w14:textId="77777777" w:rsidR="00FE3764" w:rsidRPr="004E2B07" w:rsidRDefault="00101484" w:rsidP="00314326">
            <w:pPr>
              <w:pStyle w:val="TableParagraph"/>
              <w:jc w:val="center"/>
            </w:pPr>
            <w:r w:rsidRPr="004E2B07">
              <w:t>10 500,0</w:t>
            </w:r>
          </w:p>
        </w:tc>
        <w:tc>
          <w:tcPr>
            <w:tcW w:w="1486" w:type="dxa"/>
            <w:shd w:val="clear" w:color="auto" w:fill="auto"/>
            <w:vAlign w:val="center"/>
          </w:tcPr>
          <w:p w14:paraId="485B6B94" w14:textId="77777777" w:rsidR="00FE3764" w:rsidRPr="004E2B07" w:rsidRDefault="00101484" w:rsidP="00314326">
            <w:pPr>
              <w:pStyle w:val="TableParagraph"/>
              <w:jc w:val="center"/>
            </w:pPr>
            <w:r w:rsidRPr="004E2B07">
              <w:t>10 500,0</w:t>
            </w:r>
          </w:p>
        </w:tc>
      </w:tr>
      <w:tr w:rsidR="0088630C" w14:paraId="4B8F507A" w14:textId="77777777" w:rsidTr="00335D8C">
        <w:trPr>
          <w:trHeight w:val="509"/>
          <w:jc w:val="center"/>
        </w:trPr>
        <w:tc>
          <w:tcPr>
            <w:tcW w:w="3114" w:type="dxa"/>
          </w:tcPr>
          <w:p w14:paraId="4E348864" w14:textId="77777777" w:rsidR="00FE3764" w:rsidRPr="003C0563" w:rsidRDefault="003D4C11">
            <w:pPr>
              <w:pStyle w:val="TableParagraph"/>
              <w:spacing w:before="140"/>
              <w:ind w:left="115"/>
            </w:pPr>
            <w:r w:rsidRPr="003C0563">
              <w:t>ПДВ</w:t>
            </w:r>
          </w:p>
        </w:tc>
        <w:tc>
          <w:tcPr>
            <w:tcW w:w="1417" w:type="dxa"/>
            <w:vAlign w:val="center"/>
          </w:tcPr>
          <w:p w14:paraId="50614CDA" w14:textId="77777777" w:rsidR="00FE3764" w:rsidRPr="003C0563" w:rsidRDefault="000E23F4" w:rsidP="00FB04AD">
            <w:pPr>
              <w:pStyle w:val="TableParagraph"/>
              <w:jc w:val="center"/>
            </w:pPr>
            <w:r w:rsidRPr="003C0563">
              <w:t>144 698,0</w:t>
            </w:r>
          </w:p>
        </w:tc>
        <w:tc>
          <w:tcPr>
            <w:tcW w:w="1418" w:type="dxa"/>
            <w:vAlign w:val="center"/>
          </w:tcPr>
          <w:p w14:paraId="3FCE2FF2" w14:textId="77777777" w:rsidR="00FE3764" w:rsidRPr="003C0563" w:rsidRDefault="007646FB" w:rsidP="00FB04AD">
            <w:pPr>
              <w:pStyle w:val="TableParagraph"/>
              <w:jc w:val="center"/>
            </w:pPr>
            <w:r>
              <w:t>119 755,0</w:t>
            </w:r>
          </w:p>
        </w:tc>
        <w:tc>
          <w:tcPr>
            <w:tcW w:w="1417" w:type="dxa"/>
            <w:vAlign w:val="center"/>
          </w:tcPr>
          <w:p w14:paraId="64122E34" w14:textId="77777777" w:rsidR="00FE3764" w:rsidRPr="003C0563" w:rsidRDefault="000E23F4" w:rsidP="00FB04AD">
            <w:pPr>
              <w:pStyle w:val="TableParagraph"/>
              <w:jc w:val="center"/>
            </w:pPr>
            <w:r w:rsidRPr="003C0563">
              <w:t>110 035,0</w:t>
            </w:r>
          </w:p>
        </w:tc>
        <w:tc>
          <w:tcPr>
            <w:tcW w:w="1418" w:type="dxa"/>
            <w:shd w:val="clear" w:color="auto" w:fill="auto"/>
            <w:vAlign w:val="center"/>
          </w:tcPr>
          <w:p w14:paraId="2883722F" w14:textId="77777777" w:rsidR="00FE3764" w:rsidRPr="004E2B07" w:rsidRDefault="00101484" w:rsidP="00314326">
            <w:pPr>
              <w:pStyle w:val="TableParagraph"/>
              <w:jc w:val="center"/>
            </w:pPr>
            <w:r w:rsidRPr="004E2B07">
              <w:t>100 000,0</w:t>
            </w:r>
          </w:p>
        </w:tc>
        <w:tc>
          <w:tcPr>
            <w:tcW w:w="1486" w:type="dxa"/>
            <w:shd w:val="clear" w:color="auto" w:fill="auto"/>
            <w:vAlign w:val="center"/>
          </w:tcPr>
          <w:p w14:paraId="55C04120" w14:textId="77777777" w:rsidR="00FE3764" w:rsidRPr="004E2B07" w:rsidRDefault="00101484" w:rsidP="00314326">
            <w:pPr>
              <w:pStyle w:val="TableParagraph"/>
              <w:jc w:val="center"/>
            </w:pPr>
            <w:r w:rsidRPr="004E2B07">
              <w:t>100 000,0</w:t>
            </w:r>
          </w:p>
        </w:tc>
      </w:tr>
      <w:tr w:rsidR="0088630C" w14:paraId="2C2BA13A" w14:textId="77777777" w:rsidTr="00335D8C">
        <w:trPr>
          <w:trHeight w:val="509"/>
          <w:jc w:val="center"/>
        </w:trPr>
        <w:tc>
          <w:tcPr>
            <w:tcW w:w="3114" w:type="dxa"/>
          </w:tcPr>
          <w:p w14:paraId="6814F282" w14:textId="77777777" w:rsidR="00FE3764" w:rsidRPr="003C0563" w:rsidRDefault="003D4C11">
            <w:pPr>
              <w:pStyle w:val="TableParagraph"/>
              <w:spacing w:before="140"/>
              <w:ind w:left="115"/>
              <w:rPr>
                <w:lang w:val="en-US"/>
              </w:rPr>
            </w:pPr>
            <w:r w:rsidRPr="003C0563">
              <w:t>Інші</w:t>
            </w:r>
          </w:p>
        </w:tc>
        <w:tc>
          <w:tcPr>
            <w:tcW w:w="1417" w:type="dxa"/>
            <w:vAlign w:val="center"/>
          </w:tcPr>
          <w:p w14:paraId="06A85D1E" w14:textId="77777777" w:rsidR="00FE3764" w:rsidRPr="003C0563" w:rsidRDefault="00FB04AD" w:rsidP="00FB04AD">
            <w:pPr>
              <w:pStyle w:val="TableParagraph"/>
              <w:jc w:val="center"/>
            </w:pPr>
            <w:r w:rsidRPr="003C0563">
              <w:t>80 085,0</w:t>
            </w:r>
          </w:p>
        </w:tc>
        <w:tc>
          <w:tcPr>
            <w:tcW w:w="1418" w:type="dxa"/>
            <w:vAlign w:val="center"/>
          </w:tcPr>
          <w:p w14:paraId="0408ECFE" w14:textId="77777777" w:rsidR="00FE3764" w:rsidRPr="003C0563" w:rsidRDefault="00E2490A" w:rsidP="00FB04AD">
            <w:pPr>
              <w:pStyle w:val="TableParagraph"/>
              <w:jc w:val="center"/>
            </w:pPr>
            <w:r>
              <w:t>87 787</w:t>
            </w:r>
            <w:r w:rsidR="00FB04AD" w:rsidRPr="003C0563">
              <w:t>,0</w:t>
            </w:r>
          </w:p>
        </w:tc>
        <w:tc>
          <w:tcPr>
            <w:tcW w:w="1417" w:type="dxa"/>
            <w:vAlign w:val="center"/>
          </w:tcPr>
          <w:p w14:paraId="65787C60" w14:textId="77777777" w:rsidR="00FE3764" w:rsidRPr="003C0563" w:rsidRDefault="00FB04AD" w:rsidP="00FB04AD">
            <w:pPr>
              <w:pStyle w:val="TableParagraph"/>
              <w:jc w:val="center"/>
            </w:pPr>
            <w:r w:rsidRPr="003C0563">
              <w:t>90 369,0</w:t>
            </w:r>
          </w:p>
        </w:tc>
        <w:tc>
          <w:tcPr>
            <w:tcW w:w="1418" w:type="dxa"/>
            <w:shd w:val="clear" w:color="auto" w:fill="auto"/>
            <w:vAlign w:val="center"/>
          </w:tcPr>
          <w:p w14:paraId="5A48603D" w14:textId="77777777" w:rsidR="00FE3764" w:rsidRPr="004E2B07" w:rsidRDefault="00101484" w:rsidP="00314326">
            <w:pPr>
              <w:pStyle w:val="TableParagraph"/>
              <w:jc w:val="center"/>
            </w:pPr>
            <w:r w:rsidRPr="004E2B07">
              <w:t>90 000,0</w:t>
            </w:r>
          </w:p>
        </w:tc>
        <w:tc>
          <w:tcPr>
            <w:tcW w:w="1486" w:type="dxa"/>
            <w:shd w:val="clear" w:color="auto" w:fill="auto"/>
            <w:vAlign w:val="center"/>
          </w:tcPr>
          <w:p w14:paraId="25A0FD8C" w14:textId="77777777" w:rsidR="00FE3764" w:rsidRPr="004E2B07" w:rsidRDefault="00101484" w:rsidP="00314326">
            <w:pPr>
              <w:pStyle w:val="TableParagraph"/>
              <w:jc w:val="center"/>
            </w:pPr>
            <w:r w:rsidRPr="004E2B07">
              <w:t>90 000,0</w:t>
            </w:r>
          </w:p>
        </w:tc>
      </w:tr>
      <w:tr w:rsidR="00FE3764" w14:paraId="264176F7" w14:textId="77777777" w:rsidTr="0088630C">
        <w:trPr>
          <w:trHeight w:val="509"/>
          <w:jc w:val="center"/>
        </w:trPr>
        <w:tc>
          <w:tcPr>
            <w:tcW w:w="10270" w:type="dxa"/>
            <w:gridSpan w:val="6"/>
          </w:tcPr>
          <w:p w14:paraId="20D4FED8" w14:textId="77777777" w:rsidR="00FE3764" w:rsidRPr="00F31304" w:rsidRDefault="003D4C11">
            <w:pPr>
              <w:pStyle w:val="TableParagraph"/>
              <w:spacing w:before="140"/>
              <w:ind w:left="3524" w:right="3504"/>
              <w:jc w:val="center"/>
              <w:rPr>
                <w:b/>
              </w:rPr>
            </w:pPr>
            <w:r w:rsidRPr="00F31304">
              <w:rPr>
                <w:b/>
              </w:rPr>
              <w:t>ОПЕРАЦІЙНІ</w:t>
            </w:r>
            <w:r w:rsidRPr="00F31304">
              <w:rPr>
                <w:b/>
                <w:spacing w:val="-2"/>
              </w:rPr>
              <w:t xml:space="preserve"> </w:t>
            </w:r>
            <w:r w:rsidRPr="00F31304">
              <w:rPr>
                <w:b/>
              </w:rPr>
              <w:t>ПОКАЗНИКИ</w:t>
            </w:r>
          </w:p>
        </w:tc>
      </w:tr>
      <w:tr w:rsidR="00840CF0" w14:paraId="45C9B86C" w14:textId="77777777" w:rsidTr="00A326D8">
        <w:trPr>
          <w:trHeight w:val="1327"/>
          <w:jc w:val="center"/>
        </w:trPr>
        <w:tc>
          <w:tcPr>
            <w:tcW w:w="3114" w:type="dxa"/>
          </w:tcPr>
          <w:p w14:paraId="387DBB0C" w14:textId="77777777" w:rsidR="00840CF0" w:rsidRPr="00F31304" w:rsidRDefault="00840CF0" w:rsidP="00840CF0">
            <w:pPr>
              <w:pStyle w:val="TableParagraph"/>
              <w:spacing w:before="140"/>
              <w:ind w:left="115"/>
              <w:rPr>
                <w:rFonts w:eastAsia="Calibri"/>
              </w:rPr>
            </w:pPr>
            <w:r w:rsidRPr="00F31304">
              <w:rPr>
                <w:rFonts w:eastAsia="Calibri"/>
              </w:rPr>
              <w:t xml:space="preserve">Забезпечення радіочастотного моніторингу </w:t>
            </w:r>
          </w:p>
        </w:tc>
        <w:tc>
          <w:tcPr>
            <w:tcW w:w="1417" w:type="dxa"/>
            <w:vAlign w:val="center"/>
          </w:tcPr>
          <w:p w14:paraId="2DEEF1E6" w14:textId="77777777" w:rsidR="00840CF0" w:rsidRPr="00840CF0" w:rsidRDefault="00840CF0" w:rsidP="00840CF0">
            <w:pPr>
              <w:jc w:val="center"/>
              <w:rPr>
                <w:sz w:val="20"/>
                <w:szCs w:val="20"/>
              </w:rPr>
            </w:pPr>
            <w:r w:rsidRPr="00840CF0">
              <w:rPr>
                <w:sz w:val="20"/>
                <w:szCs w:val="20"/>
              </w:rPr>
              <w:t>100 % радіообладнання із задіяними присвоєннями радіочастот</w:t>
            </w:r>
          </w:p>
          <w:p w14:paraId="4A7D829E" w14:textId="5E16DB7B" w:rsidR="00840CF0" w:rsidRPr="004419CB" w:rsidRDefault="00840CF0" w:rsidP="00840CF0">
            <w:pPr>
              <w:pStyle w:val="TableParagraph"/>
              <w:jc w:val="center"/>
              <w:rPr>
                <w:sz w:val="20"/>
                <w:szCs w:val="20"/>
              </w:rPr>
            </w:pPr>
          </w:p>
        </w:tc>
        <w:tc>
          <w:tcPr>
            <w:tcW w:w="1418" w:type="dxa"/>
            <w:vAlign w:val="center"/>
          </w:tcPr>
          <w:p w14:paraId="0CE1F566" w14:textId="77777777" w:rsidR="00840CF0" w:rsidRPr="00840CF0" w:rsidRDefault="00840CF0" w:rsidP="00840CF0">
            <w:pPr>
              <w:jc w:val="center"/>
              <w:rPr>
                <w:sz w:val="20"/>
                <w:szCs w:val="20"/>
              </w:rPr>
            </w:pPr>
            <w:r w:rsidRPr="00840CF0">
              <w:rPr>
                <w:sz w:val="20"/>
                <w:szCs w:val="20"/>
              </w:rPr>
              <w:t>100 % радіообладнання із задіяними присвоєннями радіочастот</w:t>
            </w:r>
          </w:p>
          <w:p w14:paraId="4C08B746" w14:textId="52F49AC2" w:rsidR="00840CF0" w:rsidRPr="004419CB" w:rsidRDefault="00840CF0" w:rsidP="00840CF0">
            <w:pPr>
              <w:jc w:val="center"/>
            </w:pPr>
          </w:p>
        </w:tc>
        <w:tc>
          <w:tcPr>
            <w:tcW w:w="1417" w:type="dxa"/>
            <w:vAlign w:val="center"/>
          </w:tcPr>
          <w:p w14:paraId="269BCD9B" w14:textId="77777777" w:rsidR="00840CF0" w:rsidRPr="00840CF0" w:rsidRDefault="00840CF0" w:rsidP="00840CF0">
            <w:pPr>
              <w:jc w:val="center"/>
              <w:rPr>
                <w:sz w:val="20"/>
                <w:szCs w:val="20"/>
              </w:rPr>
            </w:pPr>
            <w:r w:rsidRPr="00840CF0">
              <w:rPr>
                <w:sz w:val="20"/>
                <w:szCs w:val="20"/>
              </w:rPr>
              <w:t>100 % радіообладнання із задіяними присвоєннями радіочастот</w:t>
            </w:r>
          </w:p>
          <w:p w14:paraId="056BC409" w14:textId="69D835FB" w:rsidR="00840CF0" w:rsidRPr="004419CB" w:rsidRDefault="00840CF0" w:rsidP="00840CF0">
            <w:pPr>
              <w:jc w:val="center"/>
            </w:pPr>
          </w:p>
        </w:tc>
        <w:tc>
          <w:tcPr>
            <w:tcW w:w="1418" w:type="dxa"/>
            <w:vAlign w:val="center"/>
          </w:tcPr>
          <w:p w14:paraId="16A59819" w14:textId="77777777" w:rsidR="00840CF0" w:rsidRPr="00840CF0" w:rsidRDefault="00840CF0" w:rsidP="00840CF0">
            <w:pPr>
              <w:jc w:val="center"/>
              <w:rPr>
                <w:sz w:val="20"/>
                <w:szCs w:val="20"/>
              </w:rPr>
            </w:pPr>
            <w:r w:rsidRPr="00840CF0">
              <w:rPr>
                <w:sz w:val="20"/>
                <w:szCs w:val="20"/>
              </w:rPr>
              <w:t>100 % радіообладнання із задіяними присвоєннями радіочастот</w:t>
            </w:r>
          </w:p>
          <w:p w14:paraId="124C4B50" w14:textId="422B6A9B" w:rsidR="00840CF0" w:rsidRPr="004419CB" w:rsidRDefault="00840CF0" w:rsidP="00840CF0">
            <w:pPr>
              <w:jc w:val="center"/>
            </w:pPr>
          </w:p>
        </w:tc>
        <w:tc>
          <w:tcPr>
            <w:tcW w:w="1486" w:type="dxa"/>
            <w:vAlign w:val="center"/>
          </w:tcPr>
          <w:p w14:paraId="55323FDE" w14:textId="77777777" w:rsidR="00840CF0" w:rsidRPr="00840CF0" w:rsidRDefault="00840CF0" w:rsidP="00840CF0">
            <w:pPr>
              <w:jc w:val="center"/>
              <w:rPr>
                <w:sz w:val="20"/>
                <w:szCs w:val="20"/>
              </w:rPr>
            </w:pPr>
            <w:r w:rsidRPr="00840CF0">
              <w:rPr>
                <w:sz w:val="20"/>
                <w:szCs w:val="20"/>
              </w:rPr>
              <w:t>100 % радіообладнання із задіяними присвоєннями радіочастот</w:t>
            </w:r>
          </w:p>
          <w:p w14:paraId="13F1FED4" w14:textId="69C8BE1D" w:rsidR="00840CF0" w:rsidRPr="004419CB" w:rsidRDefault="00840CF0" w:rsidP="00840CF0">
            <w:pPr>
              <w:jc w:val="center"/>
            </w:pPr>
          </w:p>
        </w:tc>
        <w:bookmarkStart w:id="1" w:name="_GoBack"/>
        <w:bookmarkEnd w:id="1"/>
      </w:tr>
      <w:tr w:rsidR="00840CF0" w:rsidRPr="007646FB" w14:paraId="024FF8F9" w14:textId="77777777" w:rsidTr="00574BDD">
        <w:trPr>
          <w:trHeight w:val="1969"/>
          <w:jc w:val="center"/>
        </w:trPr>
        <w:tc>
          <w:tcPr>
            <w:tcW w:w="3114" w:type="dxa"/>
          </w:tcPr>
          <w:p w14:paraId="66B4E3EB" w14:textId="77777777" w:rsidR="00840CF0" w:rsidRPr="00F31304" w:rsidRDefault="00840CF0" w:rsidP="00840CF0">
            <w:pPr>
              <w:pStyle w:val="TableParagraph"/>
              <w:spacing w:before="140"/>
              <w:ind w:left="115"/>
              <w:rPr>
                <w:rFonts w:eastAsia="Calibri"/>
              </w:rPr>
            </w:pPr>
            <w:r w:rsidRPr="00F31304">
              <w:rPr>
                <w:rFonts w:eastAsia="Calibri"/>
              </w:rPr>
              <w:t xml:space="preserve">Здійснення моніторингу якості електронних комунікаційних послуг </w:t>
            </w:r>
          </w:p>
        </w:tc>
        <w:tc>
          <w:tcPr>
            <w:tcW w:w="1417" w:type="dxa"/>
            <w:vAlign w:val="center"/>
          </w:tcPr>
          <w:p w14:paraId="4498A2A9" w14:textId="77777777" w:rsidR="00840CF0" w:rsidRPr="004419CB" w:rsidRDefault="00840CF0" w:rsidP="00840CF0">
            <w:pPr>
              <w:pStyle w:val="TableParagraph"/>
              <w:jc w:val="center"/>
              <w:rPr>
                <w:sz w:val="20"/>
                <w:szCs w:val="20"/>
              </w:rPr>
            </w:pPr>
            <w:r>
              <w:rPr>
                <w:sz w:val="20"/>
                <w:szCs w:val="20"/>
                <w:lang w:val="en-US"/>
              </w:rPr>
              <w:t>100 %</w:t>
            </w:r>
            <w:r>
              <w:rPr>
                <w:sz w:val="20"/>
                <w:szCs w:val="20"/>
              </w:rPr>
              <w:t xml:space="preserve"> виконання нормо-годин вимірювання відповідно до замовлень (договір з НКЕК)</w:t>
            </w:r>
          </w:p>
        </w:tc>
        <w:tc>
          <w:tcPr>
            <w:tcW w:w="1418" w:type="dxa"/>
          </w:tcPr>
          <w:p w14:paraId="2EA503A3" w14:textId="77777777" w:rsidR="00840CF0" w:rsidRDefault="00840CF0" w:rsidP="00840CF0">
            <w:pPr>
              <w:jc w:val="center"/>
            </w:pPr>
            <w:r w:rsidRPr="00D33564">
              <w:rPr>
                <w:sz w:val="20"/>
                <w:szCs w:val="20"/>
                <w:lang w:val="en-US"/>
              </w:rPr>
              <w:t>100 %</w:t>
            </w:r>
            <w:r w:rsidRPr="00D33564">
              <w:rPr>
                <w:sz w:val="20"/>
                <w:szCs w:val="20"/>
              </w:rPr>
              <w:t xml:space="preserve"> виконання нормо-годин вимірювання відповідно до замовлень (договір з НКЕК)</w:t>
            </w:r>
          </w:p>
        </w:tc>
        <w:tc>
          <w:tcPr>
            <w:tcW w:w="1417" w:type="dxa"/>
            <w:shd w:val="clear" w:color="auto" w:fill="auto"/>
          </w:tcPr>
          <w:p w14:paraId="0B8960AE" w14:textId="77777777" w:rsidR="00840CF0" w:rsidRDefault="00840CF0" w:rsidP="00840CF0">
            <w:pPr>
              <w:jc w:val="center"/>
            </w:pPr>
            <w:r w:rsidRPr="00D33564">
              <w:rPr>
                <w:sz w:val="20"/>
                <w:szCs w:val="20"/>
                <w:lang w:val="en-US"/>
              </w:rPr>
              <w:t>100 %</w:t>
            </w:r>
            <w:r w:rsidRPr="00D33564">
              <w:rPr>
                <w:sz w:val="20"/>
                <w:szCs w:val="20"/>
              </w:rPr>
              <w:t xml:space="preserve"> виконання нормо-годин вимірювання відповідно до замовлень (договір з НКЕК)</w:t>
            </w:r>
          </w:p>
        </w:tc>
        <w:tc>
          <w:tcPr>
            <w:tcW w:w="1418" w:type="dxa"/>
            <w:shd w:val="clear" w:color="auto" w:fill="auto"/>
          </w:tcPr>
          <w:p w14:paraId="304EAC3C" w14:textId="77777777" w:rsidR="00840CF0" w:rsidRDefault="00840CF0" w:rsidP="00840CF0">
            <w:pPr>
              <w:jc w:val="center"/>
            </w:pPr>
            <w:r w:rsidRPr="00D33564">
              <w:rPr>
                <w:sz w:val="20"/>
                <w:szCs w:val="20"/>
                <w:lang w:val="en-US"/>
              </w:rPr>
              <w:t>100 %</w:t>
            </w:r>
            <w:r w:rsidRPr="00D33564">
              <w:rPr>
                <w:sz w:val="20"/>
                <w:szCs w:val="20"/>
              </w:rPr>
              <w:t xml:space="preserve"> виконання нормо-годин вимірювання відповідно до замовлень (договір з НКЕК)</w:t>
            </w:r>
          </w:p>
        </w:tc>
        <w:tc>
          <w:tcPr>
            <w:tcW w:w="1486" w:type="dxa"/>
            <w:shd w:val="clear" w:color="auto" w:fill="auto"/>
          </w:tcPr>
          <w:p w14:paraId="5532360A" w14:textId="77777777" w:rsidR="00840CF0" w:rsidRDefault="00840CF0" w:rsidP="00840CF0">
            <w:pPr>
              <w:jc w:val="center"/>
            </w:pPr>
            <w:r w:rsidRPr="00D33564">
              <w:rPr>
                <w:sz w:val="20"/>
                <w:szCs w:val="20"/>
                <w:lang w:val="en-US"/>
              </w:rPr>
              <w:t>100 %</w:t>
            </w:r>
            <w:r w:rsidRPr="00D33564">
              <w:rPr>
                <w:sz w:val="20"/>
                <w:szCs w:val="20"/>
              </w:rPr>
              <w:t xml:space="preserve"> виконання нормо-годин вимірювання відповідно до замовлень (договір з НКЕК)</w:t>
            </w:r>
          </w:p>
        </w:tc>
      </w:tr>
      <w:tr w:rsidR="00840CF0" w14:paraId="25799A14" w14:textId="77777777" w:rsidTr="00574BDD">
        <w:trPr>
          <w:trHeight w:val="1687"/>
          <w:jc w:val="center"/>
        </w:trPr>
        <w:tc>
          <w:tcPr>
            <w:tcW w:w="3114" w:type="dxa"/>
          </w:tcPr>
          <w:p w14:paraId="510F2C0B" w14:textId="77777777" w:rsidR="00840CF0" w:rsidRPr="00F31304" w:rsidRDefault="00840CF0" w:rsidP="00840CF0">
            <w:pPr>
              <w:pStyle w:val="TableParagraph"/>
              <w:spacing w:before="140"/>
              <w:ind w:left="115"/>
              <w:rPr>
                <w:rFonts w:eastAsia="Calibri"/>
              </w:rPr>
            </w:pPr>
            <w:r>
              <w:rPr>
                <w:rFonts w:eastAsia="Calibri"/>
              </w:rPr>
              <w:t>Р</w:t>
            </w:r>
            <w:r w:rsidRPr="002E72DA">
              <w:rPr>
                <w:rFonts w:eastAsia="Calibri"/>
              </w:rPr>
              <w:t>озгляд заявочних документів (замовлень (декларацій) на підготовку та оформлення розрахунків електромагнітної сумісності радіообладнання)</w:t>
            </w:r>
          </w:p>
        </w:tc>
        <w:tc>
          <w:tcPr>
            <w:tcW w:w="1417" w:type="dxa"/>
            <w:shd w:val="clear" w:color="auto" w:fill="auto"/>
            <w:vAlign w:val="center"/>
          </w:tcPr>
          <w:p w14:paraId="4E1975B1" w14:textId="77777777" w:rsidR="00840CF0" w:rsidRPr="00D171CB" w:rsidRDefault="00840CF0" w:rsidP="00840CF0">
            <w:pPr>
              <w:pStyle w:val="TableParagraph"/>
              <w:jc w:val="center"/>
              <w:rPr>
                <w:sz w:val="20"/>
                <w:szCs w:val="20"/>
              </w:rPr>
            </w:pPr>
            <w:r w:rsidRPr="00D171CB">
              <w:rPr>
                <w:sz w:val="20"/>
                <w:szCs w:val="20"/>
              </w:rPr>
              <w:t>100 % отриманих замовлень</w:t>
            </w:r>
          </w:p>
        </w:tc>
        <w:tc>
          <w:tcPr>
            <w:tcW w:w="1418" w:type="dxa"/>
            <w:vAlign w:val="center"/>
          </w:tcPr>
          <w:p w14:paraId="41C4F406" w14:textId="77777777" w:rsidR="00840CF0" w:rsidRPr="00D171CB" w:rsidRDefault="00840CF0" w:rsidP="00840CF0">
            <w:pPr>
              <w:pStyle w:val="TableParagraph"/>
              <w:jc w:val="center"/>
              <w:rPr>
                <w:sz w:val="20"/>
                <w:szCs w:val="20"/>
              </w:rPr>
            </w:pPr>
            <w:r w:rsidRPr="00D171CB">
              <w:rPr>
                <w:sz w:val="20"/>
                <w:szCs w:val="20"/>
              </w:rPr>
              <w:t>100 % отриманих замовлень</w:t>
            </w:r>
          </w:p>
        </w:tc>
        <w:tc>
          <w:tcPr>
            <w:tcW w:w="1417" w:type="dxa"/>
            <w:vAlign w:val="center"/>
          </w:tcPr>
          <w:p w14:paraId="3BD25329" w14:textId="77777777" w:rsidR="00840CF0" w:rsidRPr="00D171CB" w:rsidRDefault="00840CF0" w:rsidP="00840CF0">
            <w:pPr>
              <w:pStyle w:val="TableParagraph"/>
              <w:jc w:val="center"/>
              <w:rPr>
                <w:sz w:val="20"/>
                <w:szCs w:val="20"/>
              </w:rPr>
            </w:pPr>
            <w:r w:rsidRPr="00D171CB">
              <w:rPr>
                <w:sz w:val="20"/>
                <w:szCs w:val="20"/>
              </w:rPr>
              <w:t>100 % отриманих замовлень</w:t>
            </w:r>
          </w:p>
        </w:tc>
        <w:tc>
          <w:tcPr>
            <w:tcW w:w="1418" w:type="dxa"/>
            <w:vAlign w:val="center"/>
          </w:tcPr>
          <w:p w14:paraId="0ECD2297" w14:textId="77777777" w:rsidR="00840CF0" w:rsidRPr="00D171CB" w:rsidRDefault="00840CF0" w:rsidP="00840CF0">
            <w:pPr>
              <w:pStyle w:val="TableParagraph"/>
              <w:jc w:val="center"/>
              <w:rPr>
                <w:sz w:val="20"/>
                <w:szCs w:val="20"/>
              </w:rPr>
            </w:pPr>
            <w:r w:rsidRPr="00D171CB">
              <w:rPr>
                <w:sz w:val="20"/>
                <w:szCs w:val="20"/>
              </w:rPr>
              <w:t>100 % отриманих замовлень</w:t>
            </w:r>
          </w:p>
        </w:tc>
        <w:tc>
          <w:tcPr>
            <w:tcW w:w="1486" w:type="dxa"/>
            <w:vAlign w:val="center"/>
          </w:tcPr>
          <w:p w14:paraId="6EB4B466" w14:textId="77777777" w:rsidR="00840CF0" w:rsidRPr="00D171CB" w:rsidRDefault="00840CF0" w:rsidP="00840CF0">
            <w:pPr>
              <w:pStyle w:val="TableParagraph"/>
              <w:jc w:val="center"/>
              <w:rPr>
                <w:sz w:val="20"/>
                <w:szCs w:val="20"/>
              </w:rPr>
            </w:pPr>
            <w:r w:rsidRPr="00D171CB">
              <w:rPr>
                <w:sz w:val="20"/>
                <w:szCs w:val="20"/>
              </w:rPr>
              <w:t>100 % отриманих замовлень</w:t>
            </w:r>
          </w:p>
        </w:tc>
      </w:tr>
      <w:tr w:rsidR="00840CF0" w14:paraId="5F1E4B8E" w14:textId="77777777" w:rsidTr="0088630C">
        <w:trPr>
          <w:trHeight w:val="509"/>
          <w:jc w:val="center"/>
        </w:trPr>
        <w:tc>
          <w:tcPr>
            <w:tcW w:w="10270" w:type="dxa"/>
            <w:gridSpan w:val="6"/>
          </w:tcPr>
          <w:p w14:paraId="4518AFD5" w14:textId="77777777" w:rsidR="00840CF0" w:rsidRPr="00F31304" w:rsidRDefault="00840CF0" w:rsidP="00840CF0">
            <w:pPr>
              <w:pStyle w:val="TableParagraph"/>
              <w:spacing w:before="140"/>
              <w:ind w:left="3524" w:right="3504"/>
              <w:jc w:val="center"/>
              <w:rPr>
                <w:b/>
              </w:rPr>
            </w:pPr>
            <w:r w:rsidRPr="00F31304">
              <w:rPr>
                <w:b/>
              </w:rPr>
              <w:lastRenderedPageBreak/>
              <w:t>НЕФІНАНСОВІ</w:t>
            </w:r>
            <w:r w:rsidRPr="00F31304">
              <w:rPr>
                <w:b/>
                <w:spacing w:val="-1"/>
              </w:rPr>
              <w:t xml:space="preserve"> </w:t>
            </w:r>
            <w:r w:rsidRPr="00F31304">
              <w:rPr>
                <w:b/>
              </w:rPr>
              <w:t>ПОКАЗНИКИ</w:t>
            </w:r>
          </w:p>
        </w:tc>
      </w:tr>
      <w:tr w:rsidR="00840CF0" w14:paraId="0B4D9580" w14:textId="77777777" w:rsidTr="00335D8C">
        <w:trPr>
          <w:trHeight w:val="509"/>
          <w:jc w:val="center"/>
        </w:trPr>
        <w:tc>
          <w:tcPr>
            <w:tcW w:w="3114" w:type="dxa"/>
          </w:tcPr>
          <w:p w14:paraId="284563E0" w14:textId="77777777" w:rsidR="00840CF0" w:rsidRPr="000E161C" w:rsidRDefault="00840CF0" w:rsidP="00840CF0">
            <w:pPr>
              <w:pStyle w:val="TableParagraph"/>
              <w:spacing w:before="140"/>
              <w:ind w:left="115"/>
              <w:rPr>
                <w:b/>
              </w:rPr>
            </w:pPr>
            <w:r w:rsidRPr="000E161C">
              <w:rPr>
                <w:b/>
              </w:rPr>
              <w:t xml:space="preserve">Розвиток людського ресурсу та компетенції </w:t>
            </w:r>
            <w:r w:rsidRPr="00574BDD">
              <w:t>(навчання, семінари, курси підвищення кваліфікації працівників)</w:t>
            </w:r>
          </w:p>
        </w:tc>
        <w:tc>
          <w:tcPr>
            <w:tcW w:w="1417" w:type="dxa"/>
            <w:vAlign w:val="center"/>
          </w:tcPr>
          <w:p w14:paraId="09154153" w14:textId="4F6F5E43" w:rsidR="00840CF0" w:rsidRPr="00DD3407" w:rsidRDefault="00840CF0" w:rsidP="00840CF0">
            <w:pPr>
              <w:pStyle w:val="TableParagraph"/>
              <w:jc w:val="center"/>
              <w:rPr>
                <w:sz w:val="20"/>
                <w:szCs w:val="20"/>
              </w:rPr>
            </w:pPr>
            <w:r>
              <w:rPr>
                <w:sz w:val="20"/>
                <w:szCs w:val="20"/>
              </w:rPr>
              <w:t xml:space="preserve">Не менше  10 % чисельності кваліфікованого персоналу </w:t>
            </w:r>
          </w:p>
        </w:tc>
        <w:tc>
          <w:tcPr>
            <w:tcW w:w="1418" w:type="dxa"/>
            <w:vAlign w:val="center"/>
          </w:tcPr>
          <w:p w14:paraId="0F77C26E" w14:textId="5CB2E9CA" w:rsidR="00840CF0" w:rsidRDefault="00840CF0" w:rsidP="00840CF0">
            <w:pPr>
              <w:jc w:val="center"/>
            </w:pPr>
            <w:r>
              <w:rPr>
                <w:sz w:val="20"/>
                <w:szCs w:val="20"/>
              </w:rPr>
              <w:t>Не менше 15 % чисельності кваліфікованого персоналу</w:t>
            </w:r>
          </w:p>
        </w:tc>
        <w:tc>
          <w:tcPr>
            <w:tcW w:w="1417" w:type="dxa"/>
            <w:vAlign w:val="center"/>
          </w:tcPr>
          <w:p w14:paraId="006AAF0F" w14:textId="6794E7D7" w:rsidR="00840CF0" w:rsidRDefault="00840CF0" w:rsidP="00840CF0">
            <w:pPr>
              <w:jc w:val="center"/>
            </w:pPr>
            <w:r>
              <w:rPr>
                <w:sz w:val="20"/>
                <w:szCs w:val="20"/>
              </w:rPr>
              <w:t>Не менше 20 % чисельності кваліфікованого персоналу</w:t>
            </w:r>
          </w:p>
        </w:tc>
        <w:tc>
          <w:tcPr>
            <w:tcW w:w="1418" w:type="dxa"/>
            <w:vAlign w:val="center"/>
          </w:tcPr>
          <w:p w14:paraId="17CA95AA" w14:textId="19F488AD" w:rsidR="00840CF0" w:rsidRDefault="00840CF0" w:rsidP="00840CF0">
            <w:pPr>
              <w:jc w:val="center"/>
            </w:pPr>
            <w:r>
              <w:rPr>
                <w:sz w:val="20"/>
                <w:szCs w:val="20"/>
              </w:rPr>
              <w:t>Не менше</w:t>
            </w:r>
            <w:r>
              <w:t xml:space="preserve"> 20 % </w:t>
            </w:r>
            <w:r>
              <w:rPr>
                <w:sz w:val="20"/>
                <w:szCs w:val="20"/>
              </w:rPr>
              <w:t>чисельності кваліфікованого персоналу</w:t>
            </w:r>
          </w:p>
        </w:tc>
        <w:tc>
          <w:tcPr>
            <w:tcW w:w="1486" w:type="dxa"/>
            <w:vAlign w:val="center"/>
          </w:tcPr>
          <w:p w14:paraId="51DC4B9D" w14:textId="5D317113" w:rsidR="00840CF0" w:rsidRDefault="00840CF0" w:rsidP="00840CF0">
            <w:pPr>
              <w:jc w:val="center"/>
            </w:pPr>
            <w:r>
              <w:rPr>
                <w:sz w:val="20"/>
                <w:szCs w:val="20"/>
              </w:rPr>
              <w:t>Не менше</w:t>
            </w:r>
            <w:r>
              <w:t xml:space="preserve"> 20 %</w:t>
            </w:r>
            <w:r>
              <w:rPr>
                <w:sz w:val="20"/>
                <w:szCs w:val="20"/>
              </w:rPr>
              <w:t xml:space="preserve"> чисельності кваліфікованого персоналу</w:t>
            </w:r>
          </w:p>
        </w:tc>
      </w:tr>
      <w:tr w:rsidR="00840CF0" w14:paraId="6D33BD01" w14:textId="77777777" w:rsidTr="00335D8C">
        <w:trPr>
          <w:trHeight w:val="509"/>
          <w:jc w:val="center"/>
        </w:trPr>
        <w:tc>
          <w:tcPr>
            <w:tcW w:w="3114" w:type="dxa"/>
          </w:tcPr>
          <w:p w14:paraId="3A6D07FF" w14:textId="77777777" w:rsidR="00840CF0" w:rsidRPr="000E161C" w:rsidRDefault="00840CF0" w:rsidP="00840CF0">
            <w:pPr>
              <w:pStyle w:val="TableParagraph"/>
              <w:spacing w:before="140"/>
              <w:ind w:left="115"/>
              <w:rPr>
                <w:b/>
              </w:rPr>
            </w:pPr>
            <w:r w:rsidRPr="000E161C">
              <w:rPr>
                <w:b/>
              </w:rPr>
              <w:t xml:space="preserve">Соціальний захист працівників, охорона праці та забезпечення виконання умов колективного договору  в </w:t>
            </w:r>
            <w:proofErr w:type="spellStart"/>
            <w:r w:rsidRPr="000E161C">
              <w:rPr>
                <w:b/>
              </w:rPr>
              <w:t>т.ч</w:t>
            </w:r>
            <w:proofErr w:type="spellEnd"/>
            <w:r w:rsidRPr="000E161C">
              <w:rPr>
                <w:b/>
              </w:rPr>
              <w:t>.:</w:t>
            </w:r>
          </w:p>
        </w:tc>
        <w:tc>
          <w:tcPr>
            <w:tcW w:w="1417" w:type="dxa"/>
            <w:vAlign w:val="center"/>
          </w:tcPr>
          <w:p w14:paraId="03D899D5" w14:textId="77777777" w:rsidR="00840CF0" w:rsidRDefault="00840CF0" w:rsidP="00840CF0">
            <w:pPr>
              <w:jc w:val="center"/>
            </w:pPr>
          </w:p>
        </w:tc>
        <w:tc>
          <w:tcPr>
            <w:tcW w:w="1418" w:type="dxa"/>
            <w:vAlign w:val="center"/>
          </w:tcPr>
          <w:p w14:paraId="27922BD7" w14:textId="77777777" w:rsidR="00840CF0" w:rsidRDefault="00840CF0" w:rsidP="00840CF0">
            <w:pPr>
              <w:jc w:val="center"/>
            </w:pPr>
          </w:p>
        </w:tc>
        <w:tc>
          <w:tcPr>
            <w:tcW w:w="1417" w:type="dxa"/>
            <w:vAlign w:val="center"/>
          </w:tcPr>
          <w:p w14:paraId="2DA89812" w14:textId="77777777" w:rsidR="00840CF0" w:rsidRDefault="00840CF0" w:rsidP="00840CF0">
            <w:pPr>
              <w:jc w:val="center"/>
            </w:pPr>
          </w:p>
        </w:tc>
        <w:tc>
          <w:tcPr>
            <w:tcW w:w="1418" w:type="dxa"/>
            <w:vAlign w:val="center"/>
          </w:tcPr>
          <w:p w14:paraId="37DEB086" w14:textId="77777777" w:rsidR="00840CF0" w:rsidRDefault="00840CF0" w:rsidP="00840CF0">
            <w:pPr>
              <w:jc w:val="center"/>
            </w:pPr>
          </w:p>
        </w:tc>
        <w:tc>
          <w:tcPr>
            <w:tcW w:w="1486" w:type="dxa"/>
            <w:vAlign w:val="center"/>
          </w:tcPr>
          <w:p w14:paraId="7526D12E" w14:textId="77777777" w:rsidR="00840CF0" w:rsidRDefault="00840CF0" w:rsidP="00840CF0">
            <w:pPr>
              <w:jc w:val="center"/>
            </w:pPr>
          </w:p>
        </w:tc>
      </w:tr>
      <w:tr w:rsidR="00840CF0" w14:paraId="3CEC2034" w14:textId="77777777" w:rsidTr="00C370F1">
        <w:trPr>
          <w:trHeight w:val="509"/>
          <w:jc w:val="center"/>
        </w:trPr>
        <w:tc>
          <w:tcPr>
            <w:tcW w:w="3114" w:type="dxa"/>
          </w:tcPr>
          <w:p w14:paraId="74E6D3C2" w14:textId="0C7A38CF" w:rsidR="00840CF0" w:rsidRPr="000360C0" w:rsidRDefault="00840CF0" w:rsidP="00840CF0">
            <w:pPr>
              <w:pStyle w:val="TableParagraph"/>
              <w:spacing w:before="140"/>
              <w:ind w:left="115"/>
            </w:pPr>
            <w:r w:rsidRPr="000360C0">
              <w:t>Проведення медичних оглядів працівників певних категорій</w:t>
            </w:r>
          </w:p>
        </w:tc>
        <w:tc>
          <w:tcPr>
            <w:tcW w:w="1417" w:type="dxa"/>
            <w:vAlign w:val="center"/>
          </w:tcPr>
          <w:p w14:paraId="5656B82E" w14:textId="77777777" w:rsidR="00840CF0" w:rsidRPr="00874F0B" w:rsidRDefault="00840CF0" w:rsidP="00840CF0">
            <w:pPr>
              <w:jc w:val="center"/>
              <w:rPr>
                <w:sz w:val="20"/>
                <w:szCs w:val="20"/>
              </w:rPr>
            </w:pPr>
            <w:r>
              <w:rPr>
                <w:sz w:val="20"/>
                <w:szCs w:val="20"/>
              </w:rPr>
              <w:t>100 %</w:t>
            </w:r>
          </w:p>
        </w:tc>
        <w:tc>
          <w:tcPr>
            <w:tcW w:w="1418" w:type="dxa"/>
            <w:vAlign w:val="center"/>
          </w:tcPr>
          <w:p w14:paraId="57E49C8B" w14:textId="77777777" w:rsidR="00840CF0" w:rsidRDefault="00840CF0" w:rsidP="00840CF0">
            <w:pPr>
              <w:jc w:val="center"/>
            </w:pPr>
            <w:r w:rsidRPr="00147DC8">
              <w:rPr>
                <w:sz w:val="20"/>
                <w:szCs w:val="20"/>
              </w:rPr>
              <w:t>100 %</w:t>
            </w:r>
          </w:p>
        </w:tc>
        <w:tc>
          <w:tcPr>
            <w:tcW w:w="1417" w:type="dxa"/>
            <w:vAlign w:val="center"/>
          </w:tcPr>
          <w:p w14:paraId="7856668C" w14:textId="77777777" w:rsidR="00840CF0" w:rsidRDefault="00840CF0" w:rsidP="00840CF0">
            <w:pPr>
              <w:jc w:val="center"/>
            </w:pPr>
            <w:r w:rsidRPr="00147DC8">
              <w:rPr>
                <w:sz w:val="20"/>
                <w:szCs w:val="20"/>
              </w:rPr>
              <w:t>100 %</w:t>
            </w:r>
          </w:p>
        </w:tc>
        <w:tc>
          <w:tcPr>
            <w:tcW w:w="1418" w:type="dxa"/>
            <w:vAlign w:val="center"/>
          </w:tcPr>
          <w:p w14:paraId="25A8F1D6" w14:textId="77777777" w:rsidR="00840CF0" w:rsidRDefault="00840CF0" w:rsidP="00840CF0">
            <w:pPr>
              <w:jc w:val="center"/>
            </w:pPr>
            <w:r w:rsidRPr="00147DC8">
              <w:rPr>
                <w:sz w:val="20"/>
                <w:szCs w:val="20"/>
              </w:rPr>
              <w:t>100 %</w:t>
            </w:r>
          </w:p>
        </w:tc>
        <w:tc>
          <w:tcPr>
            <w:tcW w:w="1486" w:type="dxa"/>
            <w:vAlign w:val="center"/>
          </w:tcPr>
          <w:p w14:paraId="5D5264A6" w14:textId="77777777" w:rsidR="00840CF0" w:rsidRDefault="00840CF0" w:rsidP="00840CF0">
            <w:pPr>
              <w:jc w:val="center"/>
            </w:pPr>
            <w:r w:rsidRPr="00147DC8">
              <w:rPr>
                <w:sz w:val="20"/>
                <w:szCs w:val="20"/>
              </w:rPr>
              <w:t>100 %</w:t>
            </w:r>
          </w:p>
        </w:tc>
      </w:tr>
      <w:tr w:rsidR="00840CF0" w14:paraId="5AEC8BE8" w14:textId="77777777" w:rsidTr="00C370F1">
        <w:trPr>
          <w:trHeight w:val="509"/>
          <w:jc w:val="center"/>
        </w:trPr>
        <w:tc>
          <w:tcPr>
            <w:tcW w:w="3114" w:type="dxa"/>
          </w:tcPr>
          <w:p w14:paraId="499C33F2" w14:textId="77777777" w:rsidR="00840CF0" w:rsidRDefault="00840CF0" w:rsidP="00840CF0">
            <w:pPr>
              <w:pStyle w:val="TableParagraph"/>
              <w:spacing w:before="140"/>
              <w:ind w:left="115"/>
            </w:pPr>
            <w:r w:rsidRPr="00E90600">
              <w:t>Відрахування коштів первинній профспілковій організації на культурно-масову, фізкультурну</w:t>
            </w:r>
            <w:r>
              <w:t>,</w:t>
            </w:r>
            <w:r w:rsidRPr="00E90600">
              <w:t xml:space="preserve"> оздоровчу роботу</w:t>
            </w:r>
            <w:r>
              <w:t xml:space="preserve"> та соціальну підтримку працівників у межах витрат передбачених фінпланом</w:t>
            </w:r>
          </w:p>
        </w:tc>
        <w:tc>
          <w:tcPr>
            <w:tcW w:w="1417" w:type="dxa"/>
            <w:vAlign w:val="center"/>
          </w:tcPr>
          <w:p w14:paraId="0881A894" w14:textId="77777777" w:rsidR="00840CF0" w:rsidRPr="00874F0B" w:rsidRDefault="00840CF0" w:rsidP="00840CF0">
            <w:pPr>
              <w:jc w:val="center"/>
              <w:rPr>
                <w:sz w:val="20"/>
                <w:szCs w:val="20"/>
              </w:rPr>
            </w:pPr>
            <w:r>
              <w:rPr>
                <w:sz w:val="20"/>
                <w:szCs w:val="20"/>
              </w:rPr>
              <w:t>100 %</w:t>
            </w:r>
          </w:p>
        </w:tc>
        <w:tc>
          <w:tcPr>
            <w:tcW w:w="1418" w:type="dxa"/>
            <w:vAlign w:val="center"/>
          </w:tcPr>
          <w:p w14:paraId="712CEB30" w14:textId="77777777" w:rsidR="00840CF0" w:rsidRDefault="00840CF0" w:rsidP="00840CF0">
            <w:pPr>
              <w:jc w:val="center"/>
            </w:pPr>
            <w:r w:rsidRPr="00147DC8">
              <w:rPr>
                <w:sz w:val="20"/>
                <w:szCs w:val="20"/>
              </w:rPr>
              <w:t>100 %</w:t>
            </w:r>
          </w:p>
        </w:tc>
        <w:tc>
          <w:tcPr>
            <w:tcW w:w="1417" w:type="dxa"/>
            <w:vAlign w:val="center"/>
          </w:tcPr>
          <w:p w14:paraId="63477DD5" w14:textId="77777777" w:rsidR="00840CF0" w:rsidRDefault="00840CF0" w:rsidP="00840CF0">
            <w:pPr>
              <w:jc w:val="center"/>
            </w:pPr>
            <w:r w:rsidRPr="00147DC8">
              <w:rPr>
                <w:sz w:val="20"/>
                <w:szCs w:val="20"/>
              </w:rPr>
              <w:t>100 %</w:t>
            </w:r>
          </w:p>
        </w:tc>
        <w:tc>
          <w:tcPr>
            <w:tcW w:w="1418" w:type="dxa"/>
            <w:vAlign w:val="center"/>
          </w:tcPr>
          <w:p w14:paraId="48B335B6" w14:textId="77777777" w:rsidR="00840CF0" w:rsidRDefault="00840CF0" w:rsidP="00840CF0">
            <w:pPr>
              <w:jc w:val="center"/>
            </w:pPr>
            <w:r w:rsidRPr="00147DC8">
              <w:rPr>
                <w:sz w:val="20"/>
                <w:szCs w:val="20"/>
              </w:rPr>
              <w:t>100 %</w:t>
            </w:r>
          </w:p>
        </w:tc>
        <w:tc>
          <w:tcPr>
            <w:tcW w:w="1486" w:type="dxa"/>
            <w:vAlign w:val="center"/>
          </w:tcPr>
          <w:p w14:paraId="1E205F16" w14:textId="77777777" w:rsidR="00840CF0" w:rsidRDefault="00840CF0" w:rsidP="00840CF0">
            <w:pPr>
              <w:jc w:val="center"/>
            </w:pPr>
            <w:r w:rsidRPr="00147DC8">
              <w:rPr>
                <w:sz w:val="20"/>
                <w:szCs w:val="20"/>
              </w:rPr>
              <w:t>100 %</w:t>
            </w:r>
          </w:p>
        </w:tc>
      </w:tr>
      <w:tr w:rsidR="00840CF0" w14:paraId="57DA6578" w14:textId="77777777" w:rsidTr="00335D8C">
        <w:trPr>
          <w:trHeight w:val="509"/>
          <w:jc w:val="center"/>
        </w:trPr>
        <w:tc>
          <w:tcPr>
            <w:tcW w:w="3114" w:type="dxa"/>
          </w:tcPr>
          <w:p w14:paraId="2B31017E" w14:textId="3E21E61E" w:rsidR="00840CF0" w:rsidRPr="00743100" w:rsidRDefault="00840CF0" w:rsidP="00840CF0">
            <w:pPr>
              <w:widowControl/>
              <w:autoSpaceDE/>
              <w:autoSpaceDN/>
              <w:ind w:left="127"/>
              <w:rPr>
                <w:b/>
                <w:highlight w:val="yellow"/>
              </w:rPr>
            </w:pPr>
            <w:r w:rsidRPr="00670172">
              <w:rPr>
                <w:b/>
              </w:rPr>
              <w:t xml:space="preserve">Перехід на відновлювальні джерела енергії </w:t>
            </w:r>
            <w:r w:rsidRPr="00AD246B">
              <w:t>(відсоток заміщення традиційних джерел енергії)</w:t>
            </w:r>
          </w:p>
        </w:tc>
        <w:tc>
          <w:tcPr>
            <w:tcW w:w="1417" w:type="dxa"/>
            <w:vAlign w:val="center"/>
          </w:tcPr>
          <w:p w14:paraId="12131B2A" w14:textId="77777777" w:rsidR="00840CF0" w:rsidRPr="00AD246B" w:rsidRDefault="00840CF0" w:rsidP="00840CF0">
            <w:pPr>
              <w:jc w:val="center"/>
            </w:pPr>
            <w:r w:rsidRPr="00AD246B">
              <w:rPr>
                <w:sz w:val="20"/>
                <w:szCs w:val="20"/>
              </w:rPr>
              <w:t>-</w:t>
            </w:r>
          </w:p>
        </w:tc>
        <w:tc>
          <w:tcPr>
            <w:tcW w:w="1418" w:type="dxa"/>
            <w:vAlign w:val="center"/>
          </w:tcPr>
          <w:p w14:paraId="0205CC50" w14:textId="77777777" w:rsidR="00840CF0" w:rsidRPr="00AD246B" w:rsidRDefault="00840CF0" w:rsidP="00840CF0">
            <w:pPr>
              <w:jc w:val="center"/>
            </w:pPr>
            <w:r w:rsidRPr="00AD246B">
              <w:rPr>
                <w:sz w:val="20"/>
                <w:szCs w:val="20"/>
              </w:rPr>
              <w:t>-</w:t>
            </w:r>
          </w:p>
        </w:tc>
        <w:tc>
          <w:tcPr>
            <w:tcW w:w="1417" w:type="dxa"/>
            <w:vAlign w:val="center"/>
          </w:tcPr>
          <w:p w14:paraId="337BD96D" w14:textId="77777777" w:rsidR="00840CF0" w:rsidRDefault="00840CF0" w:rsidP="00840CF0">
            <w:pPr>
              <w:jc w:val="center"/>
            </w:pPr>
            <w:r>
              <w:rPr>
                <w:sz w:val="20"/>
                <w:szCs w:val="20"/>
              </w:rPr>
              <w:t>15 %</w:t>
            </w:r>
          </w:p>
        </w:tc>
        <w:tc>
          <w:tcPr>
            <w:tcW w:w="1418" w:type="dxa"/>
            <w:vAlign w:val="center"/>
          </w:tcPr>
          <w:p w14:paraId="31510590" w14:textId="77777777" w:rsidR="00840CF0" w:rsidRDefault="00840CF0" w:rsidP="00840CF0">
            <w:pPr>
              <w:jc w:val="center"/>
            </w:pPr>
            <w:r>
              <w:t>25 %</w:t>
            </w:r>
          </w:p>
        </w:tc>
        <w:tc>
          <w:tcPr>
            <w:tcW w:w="1486" w:type="dxa"/>
            <w:vAlign w:val="center"/>
          </w:tcPr>
          <w:p w14:paraId="0C4F436D" w14:textId="77777777" w:rsidR="00840CF0" w:rsidRDefault="00840CF0" w:rsidP="00840CF0">
            <w:pPr>
              <w:jc w:val="center"/>
            </w:pPr>
            <w:r>
              <w:t>35 %</w:t>
            </w:r>
          </w:p>
        </w:tc>
      </w:tr>
    </w:tbl>
    <w:p w14:paraId="70738143" w14:textId="77777777" w:rsidR="00FE3764" w:rsidRDefault="00FE3764" w:rsidP="00B01E00">
      <w:pPr>
        <w:pStyle w:val="a3"/>
        <w:spacing w:before="3"/>
        <w:rPr>
          <w:sz w:val="26"/>
        </w:rPr>
      </w:pPr>
    </w:p>
    <w:p w14:paraId="1A32CAEC" w14:textId="77777777" w:rsidR="00C13233" w:rsidRPr="006B25FD" w:rsidRDefault="00C13233" w:rsidP="000A64EA">
      <w:pPr>
        <w:pStyle w:val="a3"/>
        <w:spacing w:before="3"/>
        <w:ind w:firstLine="709"/>
        <w:rPr>
          <w:b/>
          <w:i w:val="0"/>
          <w:sz w:val="28"/>
          <w:szCs w:val="28"/>
        </w:rPr>
      </w:pPr>
      <w:r w:rsidRPr="006B25FD">
        <w:rPr>
          <w:b/>
          <w:i w:val="0"/>
          <w:sz w:val="28"/>
          <w:szCs w:val="28"/>
        </w:rPr>
        <w:t>Корпоративне управління</w:t>
      </w:r>
    </w:p>
    <w:p w14:paraId="299F82A6" w14:textId="37BDAFA9" w:rsidR="002458F3" w:rsidRPr="006B25FD" w:rsidRDefault="002458F3" w:rsidP="00DE2FB4">
      <w:pPr>
        <w:widowControl/>
        <w:autoSpaceDE/>
        <w:autoSpaceDN/>
        <w:ind w:firstLine="709"/>
        <w:jc w:val="both"/>
        <w:rPr>
          <w:rFonts w:eastAsia="Calibri"/>
          <w:sz w:val="28"/>
          <w:szCs w:val="28"/>
        </w:rPr>
      </w:pPr>
      <w:r w:rsidRPr="006B25FD">
        <w:rPr>
          <w:rFonts w:eastAsia="Calibri"/>
          <w:sz w:val="28"/>
          <w:szCs w:val="28"/>
        </w:rPr>
        <w:t>Підприємство є юридичною особою та у своїй діяльності керується Конституцією та законами України, актами Президента України, Кабінету Міністрів</w:t>
      </w:r>
      <w:r w:rsidR="000F0874">
        <w:rPr>
          <w:rFonts w:eastAsia="Calibri"/>
          <w:sz w:val="28"/>
          <w:szCs w:val="28"/>
        </w:rPr>
        <w:t xml:space="preserve"> України</w:t>
      </w:r>
      <w:r w:rsidRPr="006B25FD">
        <w:rPr>
          <w:rFonts w:eastAsia="Calibri"/>
          <w:sz w:val="28"/>
          <w:szCs w:val="28"/>
        </w:rPr>
        <w:t xml:space="preserve">, </w:t>
      </w:r>
      <w:r w:rsidR="000F0874">
        <w:rPr>
          <w:rFonts w:eastAsia="Calibri"/>
          <w:sz w:val="28"/>
          <w:szCs w:val="28"/>
        </w:rPr>
        <w:t xml:space="preserve">рішеннями та </w:t>
      </w:r>
      <w:r w:rsidRPr="006B25FD">
        <w:rPr>
          <w:rFonts w:eastAsia="Calibri"/>
          <w:sz w:val="28"/>
          <w:szCs w:val="28"/>
        </w:rPr>
        <w:t>наказами НКЕК, іншими нормативно – правовими актами, а також Статутом</w:t>
      </w:r>
      <w:r w:rsidR="000F0874">
        <w:rPr>
          <w:rFonts w:eastAsia="Calibri"/>
          <w:sz w:val="28"/>
          <w:szCs w:val="28"/>
        </w:rPr>
        <w:t xml:space="preserve">. </w:t>
      </w:r>
    </w:p>
    <w:p w14:paraId="6763D5A5" w14:textId="0308C52F" w:rsidR="00D530D1" w:rsidRPr="006B25FD" w:rsidRDefault="00D530D1" w:rsidP="00DE2FB4">
      <w:pPr>
        <w:widowControl/>
        <w:autoSpaceDE/>
        <w:autoSpaceDN/>
        <w:ind w:firstLine="709"/>
        <w:jc w:val="both"/>
        <w:rPr>
          <w:rFonts w:eastAsia="Calibri"/>
          <w:sz w:val="28"/>
          <w:szCs w:val="28"/>
        </w:rPr>
      </w:pPr>
      <w:r w:rsidRPr="006B25FD">
        <w:rPr>
          <w:rFonts w:eastAsia="Calibri"/>
          <w:sz w:val="28"/>
          <w:szCs w:val="28"/>
        </w:rPr>
        <w:t>Управління Підприємством здійснюється відповідно до Статуту генеральним директором, який є підзвітним Уповноваженому органові управління</w:t>
      </w:r>
      <w:r w:rsidR="000F0874">
        <w:rPr>
          <w:rFonts w:eastAsia="Calibri"/>
          <w:sz w:val="28"/>
          <w:szCs w:val="28"/>
        </w:rPr>
        <w:t xml:space="preserve"> - НКЕК</w:t>
      </w:r>
      <w:r w:rsidRPr="006B25FD">
        <w:rPr>
          <w:rFonts w:eastAsia="Calibri"/>
          <w:sz w:val="28"/>
          <w:szCs w:val="28"/>
        </w:rPr>
        <w:t>.</w:t>
      </w:r>
    </w:p>
    <w:p w14:paraId="7C0815BF" w14:textId="028146F0" w:rsidR="00D530D1" w:rsidRPr="006B25FD" w:rsidRDefault="00865183" w:rsidP="00DE2FB4">
      <w:pPr>
        <w:widowControl/>
        <w:autoSpaceDE/>
        <w:autoSpaceDN/>
        <w:ind w:firstLine="709"/>
        <w:jc w:val="both"/>
        <w:rPr>
          <w:rFonts w:eastAsia="Calibri"/>
          <w:sz w:val="28"/>
          <w:szCs w:val="28"/>
        </w:rPr>
      </w:pPr>
      <w:r w:rsidRPr="006B25FD">
        <w:rPr>
          <w:rFonts w:eastAsia="Calibri"/>
          <w:sz w:val="28"/>
          <w:szCs w:val="28"/>
        </w:rPr>
        <w:t xml:space="preserve">Генеральний директор </w:t>
      </w:r>
      <w:r w:rsidR="000F0874">
        <w:rPr>
          <w:rFonts w:eastAsia="Calibri"/>
          <w:sz w:val="28"/>
          <w:szCs w:val="28"/>
        </w:rPr>
        <w:t>УДЦР</w:t>
      </w:r>
      <w:r w:rsidR="000F0874" w:rsidRPr="006B25FD">
        <w:rPr>
          <w:rFonts w:eastAsia="Calibri"/>
          <w:sz w:val="28"/>
          <w:szCs w:val="28"/>
        </w:rPr>
        <w:t xml:space="preserve"> </w:t>
      </w:r>
      <w:r w:rsidRPr="006B25FD">
        <w:rPr>
          <w:rFonts w:eastAsia="Calibri"/>
          <w:sz w:val="28"/>
          <w:szCs w:val="28"/>
        </w:rPr>
        <w:t>здійснює поточне керівництво діяльністю Підприємства і несе відповідальність за ефективність його роботи.</w:t>
      </w:r>
    </w:p>
    <w:p w14:paraId="5D37356C" w14:textId="56A8A127" w:rsidR="00600879" w:rsidRPr="006B25FD" w:rsidRDefault="00865183" w:rsidP="00DE2FB4">
      <w:pPr>
        <w:pStyle w:val="a3"/>
        <w:ind w:firstLine="709"/>
        <w:jc w:val="both"/>
        <w:rPr>
          <w:rFonts w:eastAsia="Calibri"/>
          <w:i w:val="0"/>
          <w:iCs w:val="0"/>
          <w:sz w:val="28"/>
          <w:szCs w:val="28"/>
          <w:lang w:val="en-US"/>
        </w:rPr>
      </w:pPr>
      <w:r w:rsidRPr="006B25FD">
        <w:rPr>
          <w:rFonts w:eastAsia="Calibri"/>
          <w:i w:val="0"/>
          <w:iCs w:val="0"/>
          <w:sz w:val="28"/>
          <w:szCs w:val="28"/>
        </w:rPr>
        <w:t xml:space="preserve">Генеральний директор </w:t>
      </w:r>
      <w:r w:rsidR="000F0874">
        <w:rPr>
          <w:rFonts w:eastAsia="Calibri"/>
          <w:i w:val="0"/>
          <w:iCs w:val="0"/>
          <w:sz w:val="28"/>
          <w:szCs w:val="28"/>
        </w:rPr>
        <w:t>УДЦР</w:t>
      </w:r>
      <w:r w:rsidR="000F0874" w:rsidRPr="006B25FD">
        <w:rPr>
          <w:rFonts w:eastAsia="Calibri"/>
          <w:i w:val="0"/>
          <w:iCs w:val="0"/>
          <w:sz w:val="28"/>
          <w:szCs w:val="28"/>
        </w:rPr>
        <w:t xml:space="preserve"> </w:t>
      </w:r>
      <w:r w:rsidRPr="006B25FD">
        <w:rPr>
          <w:rFonts w:eastAsia="Calibri"/>
          <w:i w:val="0"/>
          <w:iCs w:val="0"/>
          <w:sz w:val="28"/>
          <w:szCs w:val="28"/>
        </w:rPr>
        <w:t xml:space="preserve">самостійно вирішує всі питання діяльності Підприємства, за винятком тих, що віднесені Статутом до компетенції </w:t>
      </w:r>
      <w:r w:rsidR="000F0874">
        <w:rPr>
          <w:rFonts w:eastAsia="Calibri"/>
          <w:i w:val="0"/>
          <w:iCs w:val="0"/>
          <w:sz w:val="28"/>
          <w:szCs w:val="28"/>
        </w:rPr>
        <w:t>НКЕК</w:t>
      </w:r>
      <w:r w:rsidRPr="006B25FD">
        <w:rPr>
          <w:rFonts w:eastAsia="Calibri"/>
          <w:i w:val="0"/>
          <w:iCs w:val="0"/>
          <w:sz w:val="28"/>
          <w:szCs w:val="28"/>
        </w:rPr>
        <w:t xml:space="preserve"> та дирекції.</w:t>
      </w:r>
    </w:p>
    <w:p w14:paraId="2A0965F3" w14:textId="1E3B3454" w:rsidR="00865183" w:rsidRPr="006B25FD" w:rsidRDefault="00865183" w:rsidP="00DE2FB4">
      <w:pPr>
        <w:pStyle w:val="a3"/>
        <w:ind w:firstLine="709"/>
        <w:jc w:val="both"/>
        <w:rPr>
          <w:rFonts w:eastAsia="Calibri"/>
          <w:i w:val="0"/>
          <w:iCs w:val="0"/>
          <w:sz w:val="28"/>
          <w:szCs w:val="28"/>
        </w:rPr>
      </w:pPr>
      <w:r w:rsidRPr="006B25FD">
        <w:rPr>
          <w:rFonts w:eastAsia="Calibri"/>
          <w:i w:val="0"/>
          <w:iCs w:val="0"/>
          <w:sz w:val="28"/>
          <w:szCs w:val="28"/>
        </w:rPr>
        <w:t>Дирекція Підприємства утворюється у складі генерального директора</w:t>
      </w:r>
      <w:r w:rsidR="000F0874">
        <w:rPr>
          <w:rFonts w:eastAsia="Calibri"/>
          <w:i w:val="0"/>
          <w:iCs w:val="0"/>
          <w:sz w:val="28"/>
          <w:szCs w:val="28"/>
        </w:rPr>
        <w:t>, виконавчого директора</w:t>
      </w:r>
      <w:r w:rsidRPr="006B25FD">
        <w:rPr>
          <w:rFonts w:eastAsia="Calibri"/>
          <w:i w:val="0"/>
          <w:iCs w:val="0"/>
          <w:sz w:val="28"/>
          <w:szCs w:val="28"/>
        </w:rPr>
        <w:t xml:space="preserve"> та директорів за окремими </w:t>
      </w:r>
      <w:r w:rsidR="000F0874" w:rsidRPr="006B25FD">
        <w:rPr>
          <w:rFonts w:eastAsia="Calibri"/>
          <w:i w:val="0"/>
          <w:iCs w:val="0"/>
          <w:sz w:val="28"/>
          <w:szCs w:val="28"/>
        </w:rPr>
        <w:t>напрям</w:t>
      </w:r>
      <w:r w:rsidR="000F0874">
        <w:rPr>
          <w:rFonts w:eastAsia="Calibri"/>
          <w:i w:val="0"/>
          <w:iCs w:val="0"/>
          <w:sz w:val="28"/>
          <w:szCs w:val="28"/>
        </w:rPr>
        <w:t>ами</w:t>
      </w:r>
      <w:r w:rsidR="000F0874" w:rsidRPr="006B25FD">
        <w:rPr>
          <w:rFonts w:eastAsia="Calibri"/>
          <w:i w:val="0"/>
          <w:iCs w:val="0"/>
          <w:sz w:val="28"/>
          <w:szCs w:val="28"/>
        </w:rPr>
        <w:t xml:space="preserve"> </w:t>
      </w:r>
      <w:r w:rsidRPr="006B25FD">
        <w:rPr>
          <w:rFonts w:eastAsia="Calibri"/>
          <w:i w:val="0"/>
          <w:iCs w:val="0"/>
          <w:sz w:val="28"/>
          <w:szCs w:val="28"/>
        </w:rPr>
        <w:t xml:space="preserve">діяльності Підприємства. </w:t>
      </w:r>
    </w:p>
    <w:p w14:paraId="696EEE49" w14:textId="77777777" w:rsidR="005D782A" w:rsidRDefault="005D782A" w:rsidP="000A64EA">
      <w:pPr>
        <w:pStyle w:val="a3"/>
        <w:spacing w:before="3"/>
        <w:ind w:firstLine="709"/>
        <w:rPr>
          <w:b/>
          <w:i w:val="0"/>
          <w:sz w:val="28"/>
          <w:szCs w:val="28"/>
        </w:rPr>
      </w:pPr>
    </w:p>
    <w:p w14:paraId="144E9C1F" w14:textId="0B44CCBC" w:rsidR="00C13233" w:rsidRPr="006B25FD" w:rsidRDefault="00C13233" w:rsidP="000A64EA">
      <w:pPr>
        <w:pStyle w:val="a3"/>
        <w:spacing w:before="3"/>
        <w:ind w:firstLine="709"/>
        <w:rPr>
          <w:b/>
          <w:i w:val="0"/>
          <w:sz w:val="28"/>
          <w:szCs w:val="28"/>
        </w:rPr>
      </w:pPr>
      <w:r w:rsidRPr="006B25FD">
        <w:rPr>
          <w:b/>
          <w:i w:val="0"/>
          <w:sz w:val="28"/>
          <w:szCs w:val="28"/>
        </w:rPr>
        <w:t>Очікування щодо упра</w:t>
      </w:r>
      <w:r w:rsidR="00F76C84" w:rsidRPr="006B25FD">
        <w:rPr>
          <w:b/>
          <w:i w:val="0"/>
          <w:sz w:val="28"/>
          <w:szCs w:val="28"/>
        </w:rPr>
        <w:t>вління дочірніми підприємствами</w:t>
      </w:r>
    </w:p>
    <w:p w14:paraId="26C81167" w14:textId="77777777" w:rsidR="00C13233" w:rsidRPr="006B25FD" w:rsidRDefault="00C13233" w:rsidP="000A64EA">
      <w:pPr>
        <w:pStyle w:val="a3"/>
        <w:spacing w:before="3"/>
        <w:ind w:firstLine="709"/>
        <w:rPr>
          <w:rFonts w:eastAsia="Calibri"/>
          <w:i w:val="0"/>
          <w:iCs w:val="0"/>
          <w:sz w:val="28"/>
          <w:szCs w:val="28"/>
        </w:rPr>
      </w:pPr>
      <w:r w:rsidRPr="006B25FD">
        <w:rPr>
          <w:rFonts w:eastAsia="Calibri"/>
          <w:i w:val="0"/>
          <w:iCs w:val="0"/>
          <w:sz w:val="28"/>
          <w:szCs w:val="28"/>
        </w:rPr>
        <w:t>Дочірні підприємства відсутні.</w:t>
      </w:r>
    </w:p>
    <w:p w14:paraId="64506279" w14:textId="7234697F" w:rsidR="00F76C84" w:rsidRDefault="00F76C84" w:rsidP="00B01E00">
      <w:pPr>
        <w:pStyle w:val="a3"/>
        <w:spacing w:before="3"/>
        <w:rPr>
          <w:i w:val="0"/>
          <w:sz w:val="27"/>
          <w:szCs w:val="27"/>
        </w:rPr>
      </w:pPr>
    </w:p>
    <w:p w14:paraId="5FC0294B" w14:textId="185C8CF1" w:rsidR="005D782A" w:rsidRDefault="005D782A" w:rsidP="00B01E00">
      <w:pPr>
        <w:pStyle w:val="a3"/>
        <w:spacing w:before="3"/>
        <w:rPr>
          <w:i w:val="0"/>
          <w:sz w:val="27"/>
          <w:szCs w:val="27"/>
        </w:rPr>
      </w:pPr>
    </w:p>
    <w:p w14:paraId="3197B1F9" w14:textId="77777777" w:rsidR="005D782A" w:rsidRPr="00DE2FB4" w:rsidRDefault="005D782A" w:rsidP="00B01E00">
      <w:pPr>
        <w:pStyle w:val="a3"/>
        <w:spacing w:before="3"/>
        <w:rPr>
          <w:i w:val="0"/>
          <w:sz w:val="27"/>
          <w:szCs w:val="27"/>
        </w:rPr>
      </w:pPr>
    </w:p>
    <w:p w14:paraId="28FE2F0A" w14:textId="77777777" w:rsidR="00F76C84" w:rsidRPr="00574BDD" w:rsidRDefault="00F76C84" w:rsidP="000A64EA">
      <w:pPr>
        <w:pStyle w:val="a3"/>
        <w:spacing w:before="3"/>
        <w:ind w:firstLine="709"/>
        <w:rPr>
          <w:b/>
          <w:i w:val="0"/>
          <w:sz w:val="28"/>
          <w:szCs w:val="28"/>
        </w:rPr>
      </w:pPr>
      <w:r w:rsidRPr="00574BDD">
        <w:rPr>
          <w:b/>
          <w:i w:val="0"/>
          <w:sz w:val="28"/>
          <w:szCs w:val="28"/>
        </w:rPr>
        <w:lastRenderedPageBreak/>
        <w:t>Пріоритети досягнення цілей</w:t>
      </w:r>
    </w:p>
    <w:tbl>
      <w:tblPr>
        <w:tblStyle w:val="ac"/>
        <w:tblW w:w="0" w:type="auto"/>
        <w:jc w:val="center"/>
        <w:tblLook w:val="04A0" w:firstRow="1" w:lastRow="0" w:firstColumn="1" w:lastColumn="0" w:noHBand="0" w:noVBand="1"/>
      </w:tblPr>
      <w:tblGrid>
        <w:gridCol w:w="6437"/>
        <w:gridCol w:w="1694"/>
        <w:gridCol w:w="2139"/>
      </w:tblGrid>
      <w:tr w:rsidR="001F6D36" w:rsidRPr="001F6D36" w14:paraId="2BF81C4A" w14:textId="77777777" w:rsidTr="004B616B">
        <w:trPr>
          <w:jc w:val="center"/>
        </w:trPr>
        <w:tc>
          <w:tcPr>
            <w:tcW w:w="6629" w:type="dxa"/>
            <w:vAlign w:val="center"/>
          </w:tcPr>
          <w:p w14:paraId="3A5F52B2" w14:textId="77777777" w:rsidR="001F6D36" w:rsidRPr="001F6D36" w:rsidRDefault="001F6D36" w:rsidP="001F6D36">
            <w:pPr>
              <w:pStyle w:val="a3"/>
              <w:spacing w:before="3"/>
              <w:jc w:val="center"/>
              <w:rPr>
                <w:b/>
                <w:i w:val="0"/>
                <w:sz w:val="22"/>
                <w:szCs w:val="22"/>
              </w:rPr>
            </w:pPr>
            <w:r w:rsidRPr="001F6D36">
              <w:rPr>
                <w:b/>
                <w:i w:val="0"/>
                <w:sz w:val="22"/>
                <w:szCs w:val="22"/>
              </w:rPr>
              <w:t>Цільовий показник</w:t>
            </w:r>
          </w:p>
        </w:tc>
        <w:tc>
          <w:tcPr>
            <w:tcW w:w="1701" w:type="dxa"/>
            <w:vAlign w:val="center"/>
          </w:tcPr>
          <w:p w14:paraId="75F45C1D" w14:textId="77777777" w:rsidR="001F6D36" w:rsidRPr="001F6D36" w:rsidRDefault="001F6D36" w:rsidP="001F6D36">
            <w:pPr>
              <w:pStyle w:val="a3"/>
              <w:spacing w:before="3"/>
              <w:jc w:val="center"/>
              <w:rPr>
                <w:b/>
                <w:i w:val="0"/>
                <w:sz w:val="22"/>
                <w:szCs w:val="22"/>
              </w:rPr>
            </w:pPr>
            <w:r w:rsidRPr="001F6D36">
              <w:rPr>
                <w:b/>
                <w:i w:val="0"/>
                <w:sz w:val="22"/>
                <w:szCs w:val="22"/>
              </w:rPr>
              <w:t>Ранг ефективності</w:t>
            </w:r>
          </w:p>
        </w:tc>
        <w:tc>
          <w:tcPr>
            <w:tcW w:w="2166" w:type="dxa"/>
            <w:vAlign w:val="center"/>
          </w:tcPr>
          <w:p w14:paraId="3A7EC27E" w14:textId="77777777" w:rsidR="001F6D36" w:rsidRPr="001F6D36" w:rsidRDefault="001F6D36" w:rsidP="001F6D36">
            <w:pPr>
              <w:pStyle w:val="a3"/>
              <w:spacing w:before="3"/>
              <w:jc w:val="center"/>
              <w:rPr>
                <w:b/>
                <w:i w:val="0"/>
                <w:sz w:val="22"/>
                <w:szCs w:val="22"/>
              </w:rPr>
            </w:pPr>
            <w:r w:rsidRPr="001F6D36">
              <w:rPr>
                <w:b/>
                <w:i w:val="0"/>
                <w:sz w:val="22"/>
                <w:szCs w:val="22"/>
              </w:rPr>
              <w:t>Відсоток загальної оцінки ефективності</w:t>
            </w:r>
          </w:p>
        </w:tc>
      </w:tr>
      <w:tr w:rsidR="001F6D36" w14:paraId="5D4DE427" w14:textId="77777777" w:rsidTr="004B616B">
        <w:trPr>
          <w:trHeight w:val="493"/>
          <w:jc w:val="center"/>
        </w:trPr>
        <w:tc>
          <w:tcPr>
            <w:tcW w:w="6629" w:type="dxa"/>
            <w:vAlign w:val="center"/>
          </w:tcPr>
          <w:p w14:paraId="6862056B" w14:textId="77777777" w:rsidR="001F6D36" w:rsidRPr="00D35776" w:rsidRDefault="001F6D36" w:rsidP="00B01E00">
            <w:pPr>
              <w:pStyle w:val="a3"/>
              <w:spacing w:before="3"/>
              <w:rPr>
                <w:i w:val="0"/>
                <w:sz w:val="26"/>
                <w:szCs w:val="26"/>
              </w:rPr>
            </w:pPr>
            <w:r w:rsidRPr="00D35776">
              <w:rPr>
                <w:rFonts w:eastAsia="Calibri"/>
                <w:i w:val="0"/>
                <w:sz w:val="26"/>
                <w:szCs w:val="26"/>
              </w:rPr>
              <w:t>Забезпечення радіочастотного моніторингу</w:t>
            </w:r>
          </w:p>
        </w:tc>
        <w:tc>
          <w:tcPr>
            <w:tcW w:w="1701" w:type="dxa"/>
            <w:vAlign w:val="center"/>
          </w:tcPr>
          <w:p w14:paraId="1376BF1A" w14:textId="77777777" w:rsidR="001F6D36" w:rsidRPr="00D35776" w:rsidRDefault="001F6D36" w:rsidP="001F6D36">
            <w:pPr>
              <w:pStyle w:val="a3"/>
              <w:spacing w:before="3"/>
              <w:jc w:val="center"/>
              <w:rPr>
                <w:i w:val="0"/>
                <w:sz w:val="26"/>
                <w:szCs w:val="26"/>
              </w:rPr>
            </w:pPr>
            <w:r w:rsidRPr="00D35776">
              <w:rPr>
                <w:i w:val="0"/>
                <w:sz w:val="26"/>
                <w:szCs w:val="26"/>
              </w:rPr>
              <w:t>1</w:t>
            </w:r>
          </w:p>
        </w:tc>
        <w:tc>
          <w:tcPr>
            <w:tcW w:w="2166" w:type="dxa"/>
            <w:vAlign w:val="center"/>
          </w:tcPr>
          <w:p w14:paraId="4D8E0B22" w14:textId="77777777" w:rsidR="001F6D36" w:rsidRPr="00D35776" w:rsidRDefault="001F6D36" w:rsidP="001F6D36">
            <w:pPr>
              <w:pStyle w:val="a3"/>
              <w:spacing w:before="3"/>
              <w:jc w:val="center"/>
              <w:rPr>
                <w:i w:val="0"/>
                <w:sz w:val="26"/>
                <w:szCs w:val="26"/>
              </w:rPr>
            </w:pPr>
            <w:r w:rsidRPr="00D35776">
              <w:rPr>
                <w:i w:val="0"/>
                <w:sz w:val="26"/>
                <w:szCs w:val="26"/>
              </w:rPr>
              <w:t>70</w:t>
            </w:r>
            <w:r w:rsidR="00F22E7B" w:rsidRPr="00D35776">
              <w:rPr>
                <w:i w:val="0"/>
                <w:sz w:val="26"/>
                <w:szCs w:val="26"/>
              </w:rPr>
              <w:t xml:space="preserve"> %</w:t>
            </w:r>
          </w:p>
        </w:tc>
      </w:tr>
      <w:tr w:rsidR="001F6D36" w14:paraId="7E4E8C7E" w14:textId="77777777" w:rsidTr="004B616B">
        <w:trPr>
          <w:trHeight w:val="840"/>
          <w:jc w:val="center"/>
        </w:trPr>
        <w:tc>
          <w:tcPr>
            <w:tcW w:w="6629" w:type="dxa"/>
            <w:vAlign w:val="center"/>
          </w:tcPr>
          <w:p w14:paraId="10368CFB" w14:textId="77777777" w:rsidR="001F6D36" w:rsidRPr="00D35776" w:rsidRDefault="001F6D36" w:rsidP="00B01E00">
            <w:pPr>
              <w:pStyle w:val="a3"/>
              <w:spacing w:before="3"/>
              <w:rPr>
                <w:i w:val="0"/>
                <w:sz w:val="26"/>
                <w:szCs w:val="26"/>
              </w:rPr>
            </w:pPr>
            <w:r w:rsidRPr="00D35776">
              <w:rPr>
                <w:rFonts w:eastAsia="Calibri"/>
                <w:i w:val="0"/>
                <w:sz w:val="26"/>
                <w:szCs w:val="26"/>
              </w:rPr>
              <w:t>Розгляд заявочних документів (замовлень (декларацій) на підготовку та оформлення розрахунків електромагнітної сумісності радіообладнання)</w:t>
            </w:r>
          </w:p>
        </w:tc>
        <w:tc>
          <w:tcPr>
            <w:tcW w:w="1701" w:type="dxa"/>
            <w:vAlign w:val="center"/>
          </w:tcPr>
          <w:p w14:paraId="17CB2060" w14:textId="77777777" w:rsidR="001F6D36" w:rsidRPr="00D35776" w:rsidRDefault="001F6D36" w:rsidP="001F6D36">
            <w:pPr>
              <w:pStyle w:val="a3"/>
              <w:spacing w:before="3"/>
              <w:jc w:val="center"/>
              <w:rPr>
                <w:i w:val="0"/>
                <w:sz w:val="26"/>
                <w:szCs w:val="26"/>
              </w:rPr>
            </w:pPr>
            <w:r w:rsidRPr="00D35776">
              <w:rPr>
                <w:i w:val="0"/>
                <w:sz w:val="26"/>
                <w:szCs w:val="26"/>
              </w:rPr>
              <w:t>2</w:t>
            </w:r>
          </w:p>
        </w:tc>
        <w:tc>
          <w:tcPr>
            <w:tcW w:w="2166" w:type="dxa"/>
            <w:vAlign w:val="center"/>
          </w:tcPr>
          <w:p w14:paraId="66A5B646" w14:textId="77777777" w:rsidR="001F6D36" w:rsidRPr="00D35776" w:rsidRDefault="001F6D36" w:rsidP="001F6D36">
            <w:pPr>
              <w:pStyle w:val="a3"/>
              <w:spacing w:before="3"/>
              <w:jc w:val="center"/>
              <w:rPr>
                <w:i w:val="0"/>
                <w:sz w:val="26"/>
                <w:szCs w:val="26"/>
              </w:rPr>
            </w:pPr>
            <w:r w:rsidRPr="00D35776">
              <w:rPr>
                <w:i w:val="0"/>
                <w:sz w:val="26"/>
                <w:szCs w:val="26"/>
              </w:rPr>
              <w:t>20</w:t>
            </w:r>
            <w:r w:rsidR="00F22E7B" w:rsidRPr="00D35776">
              <w:rPr>
                <w:i w:val="0"/>
                <w:sz w:val="26"/>
                <w:szCs w:val="26"/>
              </w:rPr>
              <w:t xml:space="preserve"> %</w:t>
            </w:r>
          </w:p>
        </w:tc>
      </w:tr>
      <w:tr w:rsidR="001F6D36" w14:paraId="19759B6C" w14:textId="77777777" w:rsidTr="004B616B">
        <w:trPr>
          <w:trHeight w:val="578"/>
          <w:jc w:val="center"/>
        </w:trPr>
        <w:tc>
          <w:tcPr>
            <w:tcW w:w="6629" w:type="dxa"/>
            <w:vAlign w:val="center"/>
          </w:tcPr>
          <w:p w14:paraId="2670C1A6" w14:textId="77777777" w:rsidR="001F6D36" w:rsidRPr="00D35776" w:rsidRDefault="001F6D36" w:rsidP="00B01E00">
            <w:pPr>
              <w:pStyle w:val="a3"/>
              <w:spacing w:before="3"/>
              <w:rPr>
                <w:i w:val="0"/>
                <w:sz w:val="26"/>
                <w:szCs w:val="26"/>
              </w:rPr>
            </w:pPr>
            <w:r w:rsidRPr="00D35776">
              <w:rPr>
                <w:rFonts w:eastAsia="Calibri"/>
                <w:i w:val="0"/>
                <w:sz w:val="26"/>
                <w:szCs w:val="26"/>
              </w:rPr>
              <w:t>Здійснення моніторингу якості електронних комунікаційних послуг</w:t>
            </w:r>
          </w:p>
        </w:tc>
        <w:tc>
          <w:tcPr>
            <w:tcW w:w="1701" w:type="dxa"/>
            <w:vAlign w:val="center"/>
          </w:tcPr>
          <w:p w14:paraId="4EC1CB28" w14:textId="77777777" w:rsidR="001F6D36" w:rsidRPr="00D35776" w:rsidRDefault="001F6D36" w:rsidP="001F6D36">
            <w:pPr>
              <w:pStyle w:val="a3"/>
              <w:spacing w:before="3"/>
              <w:jc w:val="center"/>
              <w:rPr>
                <w:i w:val="0"/>
                <w:sz w:val="26"/>
                <w:szCs w:val="26"/>
              </w:rPr>
            </w:pPr>
            <w:r w:rsidRPr="00D35776">
              <w:rPr>
                <w:i w:val="0"/>
                <w:sz w:val="26"/>
                <w:szCs w:val="26"/>
              </w:rPr>
              <w:t>3</w:t>
            </w:r>
          </w:p>
        </w:tc>
        <w:tc>
          <w:tcPr>
            <w:tcW w:w="2166" w:type="dxa"/>
            <w:vAlign w:val="center"/>
          </w:tcPr>
          <w:p w14:paraId="7B9B8CCD" w14:textId="77777777" w:rsidR="001F6D36" w:rsidRPr="00D35776" w:rsidRDefault="001F6D36" w:rsidP="001F6D36">
            <w:pPr>
              <w:pStyle w:val="a3"/>
              <w:spacing w:before="3"/>
              <w:jc w:val="center"/>
              <w:rPr>
                <w:i w:val="0"/>
                <w:sz w:val="26"/>
                <w:szCs w:val="26"/>
              </w:rPr>
            </w:pPr>
            <w:r w:rsidRPr="00D35776">
              <w:rPr>
                <w:i w:val="0"/>
                <w:sz w:val="26"/>
                <w:szCs w:val="26"/>
              </w:rPr>
              <w:t>10</w:t>
            </w:r>
            <w:r w:rsidR="00F22E7B" w:rsidRPr="00D35776">
              <w:rPr>
                <w:i w:val="0"/>
                <w:sz w:val="26"/>
                <w:szCs w:val="26"/>
              </w:rPr>
              <w:t xml:space="preserve"> %</w:t>
            </w:r>
          </w:p>
        </w:tc>
      </w:tr>
    </w:tbl>
    <w:p w14:paraId="4FD836F4" w14:textId="77777777" w:rsidR="00F76C84" w:rsidRPr="00DE2FB4" w:rsidRDefault="00F76C84" w:rsidP="00B01E00">
      <w:pPr>
        <w:pStyle w:val="a3"/>
        <w:spacing w:before="3"/>
        <w:rPr>
          <w:b/>
          <w:i w:val="0"/>
          <w:sz w:val="27"/>
          <w:szCs w:val="27"/>
        </w:rPr>
      </w:pPr>
    </w:p>
    <w:p w14:paraId="34C11BBD" w14:textId="77777777" w:rsidR="00F76C84" w:rsidRPr="006B25FD" w:rsidRDefault="00F76C84" w:rsidP="000A64EA">
      <w:pPr>
        <w:pStyle w:val="a3"/>
        <w:spacing w:before="3"/>
        <w:ind w:firstLine="709"/>
        <w:rPr>
          <w:b/>
          <w:i w:val="0"/>
          <w:sz w:val="28"/>
          <w:szCs w:val="28"/>
        </w:rPr>
      </w:pPr>
      <w:r w:rsidRPr="006B25FD">
        <w:rPr>
          <w:b/>
          <w:i w:val="0"/>
          <w:sz w:val="28"/>
          <w:szCs w:val="28"/>
        </w:rPr>
        <w:t>Консультації з наглядовою радою (виконавчим органом) Підприємства</w:t>
      </w:r>
    </w:p>
    <w:p w14:paraId="6F51E71E" w14:textId="77777777" w:rsidR="00F76C84" w:rsidRPr="006B25FD" w:rsidRDefault="00F76C84" w:rsidP="000A64EA">
      <w:pPr>
        <w:pStyle w:val="a3"/>
        <w:spacing w:before="3"/>
        <w:ind w:firstLine="709"/>
        <w:rPr>
          <w:i w:val="0"/>
          <w:sz w:val="28"/>
          <w:szCs w:val="28"/>
        </w:rPr>
      </w:pPr>
      <w:r w:rsidRPr="006B25FD">
        <w:rPr>
          <w:i w:val="0"/>
          <w:sz w:val="28"/>
          <w:szCs w:val="28"/>
        </w:rPr>
        <w:t>Наглядова рада на Підприємстві відсутня.</w:t>
      </w:r>
    </w:p>
    <w:p w14:paraId="341C5259" w14:textId="77777777" w:rsidR="00E96EFF" w:rsidRPr="006B25FD" w:rsidRDefault="00E96EFF" w:rsidP="000A64EA">
      <w:pPr>
        <w:pStyle w:val="a3"/>
        <w:spacing w:before="3"/>
        <w:ind w:firstLine="709"/>
        <w:rPr>
          <w:i w:val="0"/>
          <w:sz w:val="28"/>
          <w:szCs w:val="28"/>
        </w:rPr>
      </w:pPr>
    </w:p>
    <w:p w14:paraId="3D900244" w14:textId="18719728" w:rsidR="00E96EFF" w:rsidRDefault="00E96EFF" w:rsidP="000A64EA">
      <w:pPr>
        <w:pStyle w:val="a3"/>
        <w:spacing w:before="3"/>
        <w:ind w:firstLine="709"/>
        <w:rPr>
          <w:i w:val="0"/>
          <w:sz w:val="28"/>
          <w:szCs w:val="28"/>
        </w:rPr>
      </w:pPr>
    </w:p>
    <w:p w14:paraId="58C0970C" w14:textId="3114B7A3" w:rsidR="00D35776" w:rsidRDefault="00D35776" w:rsidP="000A64EA">
      <w:pPr>
        <w:pStyle w:val="a3"/>
        <w:spacing w:before="3"/>
        <w:ind w:firstLine="709"/>
        <w:rPr>
          <w:i w:val="0"/>
          <w:sz w:val="28"/>
          <w:szCs w:val="28"/>
        </w:rPr>
      </w:pPr>
    </w:p>
    <w:p w14:paraId="02D5AE80" w14:textId="5C797230" w:rsidR="00D35776" w:rsidRDefault="00D35776" w:rsidP="000A64EA">
      <w:pPr>
        <w:pStyle w:val="a3"/>
        <w:spacing w:before="3"/>
        <w:ind w:firstLine="709"/>
        <w:rPr>
          <w:i w:val="0"/>
          <w:sz w:val="28"/>
          <w:szCs w:val="28"/>
        </w:rPr>
      </w:pPr>
    </w:p>
    <w:p w14:paraId="3A1E7474" w14:textId="77777777" w:rsidR="00D35776" w:rsidRPr="006B25FD" w:rsidRDefault="00D35776" w:rsidP="000A64EA">
      <w:pPr>
        <w:pStyle w:val="a3"/>
        <w:spacing w:before="3"/>
        <w:ind w:firstLine="709"/>
        <w:rPr>
          <w:i w:val="0"/>
          <w:sz w:val="28"/>
          <w:szCs w:val="28"/>
        </w:rPr>
      </w:pPr>
    </w:p>
    <w:p w14:paraId="58B3ADB0" w14:textId="77777777" w:rsidR="00E96EFF" w:rsidRPr="006B25FD" w:rsidRDefault="00E96EFF" w:rsidP="00E96EFF">
      <w:pPr>
        <w:pStyle w:val="a3"/>
        <w:spacing w:before="3"/>
        <w:rPr>
          <w:b/>
          <w:i w:val="0"/>
          <w:sz w:val="28"/>
          <w:szCs w:val="28"/>
        </w:rPr>
      </w:pPr>
      <w:r w:rsidRPr="006B25FD">
        <w:rPr>
          <w:b/>
          <w:i w:val="0"/>
          <w:sz w:val="28"/>
          <w:szCs w:val="28"/>
        </w:rPr>
        <w:t>Генеральний директор                                                                Володимир КОРСУН</w:t>
      </w:r>
    </w:p>
    <w:sectPr w:rsidR="00E96EFF" w:rsidRPr="006B25FD">
      <w:pgSz w:w="12240" w:h="15840"/>
      <w:pgMar w:top="1420" w:right="500" w:bottom="280" w:left="1460" w:header="562"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92AFF2" w16cex:dateUtc="2024-12-04T21:13:00Z"/>
  <w16cex:commentExtensible w16cex:durableId="74D19C43" w16cex:dateUtc="2024-12-04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D757BA" w16cid:durableId="3C92AFF2"/>
  <w16cid:commentId w16cid:paraId="16C4B923" w16cid:durableId="74D19C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94679" w14:textId="77777777" w:rsidR="00B816CF" w:rsidRDefault="00B816CF">
      <w:r>
        <w:separator/>
      </w:r>
    </w:p>
  </w:endnote>
  <w:endnote w:type="continuationSeparator" w:id="0">
    <w:p w14:paraId="5BA21F23" w14:textId="77777777" w:rsidR="00B816CF" w:rsidRDefault="00B8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DBCC" w14:textId="77777777" w:rsidR="00B816CF" w:rsidRDefault="00B816CF">
      <w:r>
        <w:separator/>
      </w:r>
    </w:p>
  </w:footnote>
  <w:footnote w:type="continuationSeparator" w:id="0">
    <w:p w14:paraId="396D5AA0" w14:textId="77777777" w:rsidR="00B816CF" w:rsidRDefault="00B816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8449" w14:textId="77777777" w:rsidR="00FE3764" w:rsidRDefault="003D4C11">
    <w:pPr>
      <w:pStyle w:val="a3"/>
      <w:spacing w:line="14" w:lineRule="auto"/>
      <w:rPr>
        <w:i w:val="0"/>
        <w:sz w:val="20"/>
      </w:rPr>
    </w:pPr>
    <w:r>
      <w:rPr>
        <w:noProof/>
        <w:lang w:eastAsia="uk-UA"/>
      </w:rPr>
      <mc:AlternateContent>
        <mc:Choice Requires="wps">
          <w:drawing>
            <wp:anchor distT="0" distB="0" distL="114300" distR="114300" simplePos="0" relativeHeight="251656192" behindDoc="1" locked="0" layoutInCell="1" allowOverlap="1" wp14:anchorId="0B8132A3" wp14:editId="7680569A">
              <wp:simplePos x="0" y="0"/>
              <wp:positionH relativeFrom="page">
                <wp:posOffset>4154170</wp:posOffset>
              </wp:positionH>
              <wp:positionV relativeFrom="page">
                <wp:posOffset>344170</wp:posOffset>
              </wp:positionV>
              <wp:extent cx="1524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A92B" w14:textId="25F1AAA4" w:rsidR="00FE3764" w:rsidRDefault="003D4C11">
                          <w:pPr>
                            <w:spacing w:before="10"/>
                            <w:ind w:left="60"/>
                            <w:rPr>
                              <w:sz w:val="24"/>
                            </w:rPr>
                          </w:pPr>
                          <w:r>
                            <w:fldChar w:fldCharType="begin"/>
                          </w:r>
                          <w:r>
                            <w:rPr>
                              <w:sz w:val="24"/>
                            </w:rPr>
                            <w:instrText xml:space="preserve"> PAGE </w:instrText>
                          </w:r>
                          <w:r>
                            <w:fldChar w:fldCharType="separate"/>
                          </w:r>
                          <w:r w:rsidR="00840CF0">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132A3" id="_x0000_t202" coordsize="21600,21600" o:spt="202" path="m,l,21600r21600,l21600,xe">
              <v:stroke joinstyle="miter"/>
              <v:path gradientshapeok="t" o:connecttype="rect"/>
            </v:shapetype>
            <v:shape id="Text Box 2" o:spid="_x0000_s1026" type="#_x0000_t202" style="position:absolute;margin-left:327.1pt;margin-top:27.1pt;width:12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sL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" filled="f" stroked="f">
              <v:textbox inset="0,0,0,0">
                <w:txbxContent>
                  <w:p w14:paraId="4954A92B" w14:textId="25F1AAA4" w:rsidR="00FE3764" w:rsidRDefault="003D4C11">
                    <w:pPr>
                      <w:spacing w:before="10"/>
                      <w:ind w:left="60"/>
                      <w:rPr>
                        <w:sz w:val="24"/>
                      </w:rPr>
                    </w:pPr>
                    <w:r>
                      <w:fldChar w:fldCharType="begin"/>
                    </w:r>
                    <w:r>
                      <w:rPr>
                        <w:sz w:val="24"/>
                      </w:rPr>
                      <w:instrText xml:space="preserve"> PAGE </w:instrText>
                    </w:r>
                    <w:r>
                      <w:fldChar w:fldCharType="separate"/>
                    </w:r>
                    <w:r w:rsidR="00840CF0">
                      <w:rPr>
                        <w:noProof/>
                        <w:sz w:val="24"/>
                      </w:rPr>
                      <w:t>8</w:t>
                    </w:r>
                    <w:r>
                      <w:fldChar w:fldCharType="end"/>
                    </w:r>
                  </w:p>
                </w:txbxContent>
              </v:textbox>
              <w10:wrap anchorx="page" anchory="page"/>
            </v:shape>
          </w:pict>
        </mc:Fallback>
      </mc:AlternateContent>
    </w:r>
    <w:r>
      <w:rPr>
        <w:noProof/>
        <w:lang w:eastAsia="uk-UA"/>
      </w:rPr>
      <mc:AlternateContent>
        <mc:Choice Requires="wps">
          <w:drawing>
            <wp:anchor distT="0" distB="0" distL="114300" distR="114300" simplePos="0" relativeHeight="251658240" behindDoc="1" locked="0" layoutInCell="1" allowOverlap="1" wp14:anchorId="34874569" wp14:editId="447EA389">
              <wp:simplePos x="0" y="0"/>
              <wp:positionH relativeFrom="page">
                <wp:posOffset>5555615</wp:posOffset>
              </wp:positionH>
              <wp:positionV relativeFrom="page">
                <wp:posOffset>695960</wp:posOffset>
              </wp:positionV>
              <wp:extent cx="1838325"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8F531" w14:textId="77777777" w:rsidR="00FE3764" w:rsidRDefault="003D4C11">
                          <w:pPr>
                            <w:spacing w:before="8"/>
                            <w:ind w:left="20"/>
                            <w:rPr>
                              <w:sz w:val="28"/>
                            </w:rPr>
                          </w:pPr>
                          <w:r>
                            <w:rPr>
                              <w:sz w:val="28"/>
                            </w:rPr>
                            <w:t>Продовження</w:t>
                          </w:r>
                          <w:r>
                            <w:rPr>
                              <w:spacing w:val="-6"/>
                              <w:sz w:val="28"/>
                            </w:rPr>
                            <w:t xml:space="preserve"> </w:t>
                          </w:r>
                          <w:r>
                            <w:rPr>
                              <w:sz w:val="28"/>
                            </w:rPr>
                            <w:t>додатка</w:t>
                          </w:r>
                          <w:r>
                            <w:rPr>
                              <w:spacing w:val="-4"/>
                              <w:sz w:val="28"/>
                            </w:rPr>
                            <w:t xml:space="preserve"> </w:t>
                          </w:r>
                          <w:r>
                            <w:rPr>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4569" id="Text Box 1" o:spid="_x0000_s1027" type="#_x0000_t202" style="position:absolute;margin-left:437.45pt;margin-top:54.8pt;width:144.75pt;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4/rw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" filled="f" stroked="f">
              <v:textbox inset="0,0,0,0">
                <w:txbxContent>
                  <w:p w14:paraId="7918F531" w14:textId="77777777" w:rsidR="00FE3764" w:rsidRDefault="003D4C11">
                    <w:pPr>
                      <w:spacing w:before="8"/>
                      <w:ind w:left="20"/>
                      <w:rPr>
                        <w:sz w:val="28"/>
                      </w:rPr>
                    </w:pPr>
                    <w:r>
                      <w:rPr>
                        <w:sz w:val="28"/>
                      </w:rPr>
                      <w:t>Продовження</w:t>
                    </w:r>
                    <w:r>
                      <w:rPr>
                        <w:spacing w:val="-6"/>
                        <w:sz w:val="28"/>
                      </w:rPr>
                      <w:t xml:space="preserve"> </w:t>
                    </w:r>
                    <w:r>
                      <w:rPr>
                        <w:sz w:val="28"/>
                      </w:rPr>
                      <w:t>додатка</w:t>
                    </w:r>
                    <w:r>
                      <w:rPr>
                        <w:spacing w:val="-4"/>
                        <w:sz w:val="28"/>
                      </w:rPr>
                      <w:t xml:space="preserve"> </w:t>
                    </w:r>
                    <w:r>
                      <w:rPr>
                        <w:sz w:val="28"/>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F2ACA"/>
    <w:multiLevelType w:val="hybridMultilevel"/>
    <w:tmpl w:val="75F6DB78"/>
    <w:lvl w:ilvl="0" w:tplc="291C76F8">
      <w:start w:val="1"/>
      <w:numFmt w:val="decimal"/>
      <w:lvlText w:val="%1)"/>
      <w:lvlJc w:val="left"/>
      <w:pPr>
        <w:ind w:left="567" w:hanging="567"/>
      </w:pPr>
      <w:rPr>
        <w:rFonts w:ascii="Times New Roman" w:eastAsia="Times New Roman" w:hAnsi="Times New Roman" w:cs="Times New Roman" w:hint="default"/>
        <w:w w:val="100"/>
        <w:sz w:val="20"/>
        <w:szCs w:val="20"/>
        <w:lang w:val="uk-UA" w:eastAsia="en-US" w:bidi="ar-SA"/>
      </w:rPr>
    </w:lvl>
    <w:lvl w:ilvl="1" w:tplc="8ABCD16A">
      <w:numFmt w:val="bullet"/>
      <w:lvlText w:val="•"/>
      <w:lvlJc w:val="left"/>
      <w:pPr>
        <w:ind w:left="1508" w:hanging="567"/>
      </w:pPr>
      <w:rPr>
        <w:rFonts w:hint="default"/>
        <w:lang w:val="uk-UA" w:eastAsia="en-US" w:bidi="ar-SA"/>
      </w:rPr>
    </w:lvl>
    <w:lvl w:ilvl="2" w:tplc="866C7B26">
      <w:numFmt w:val="bullet"/>
      <w:lvlText w:val="•"/>
      <w:lvlJc w:val="left"/>
      <w:pPr>
        <w:ind w:left="2456" w:hanging="567"/>
      </w:pPr>
      <w:rPr>
        <w:rFonts w:hint="default"/>
        <w:lang w:val="uk-UA" w:eastAsia="en-US" w:bidi="ar-SA"/>
      </w:rPr>
    </w:lvl>
    <w:lvl w:ilvl="3" w:tplc="F252F27C">
      <w:numFmt w:val="bullet"/>
      <w:lvlText w:val="•"/>
      <w:lvlJc w:val="left"/>
      <w:pPr>
        <w:ind w:left="3404" w:hanging="567"/>
      </w:pPr>
      <w:rPr>
        <w:rFonts w:hint="default"/>
        <w:lang w:val="uk-UA" w:eastAsia="en-US" w:bidi="ar-SA"/>
      </w:rPr>
    </w:lvl>
    <w:lvl w:ilvl="4" w:tplc="2B968134">
      <w:numFmt w:val="bullet"/>
      <w:lvlText w:val="•"/>
      <w:lvlJc w:val="left"/>
      <w:pPr>
        <w:ind w:left="4352" w:hanging="567"/>
      </w:pPr>
      <w:rPr>
        <w:rFonts w:hint="default"/>
        <w:lang w:val="uk-UA" w:eastAsia="en-US" w:bidi="ar-SA"/>
      </w:rPr>
    </w:lvl>
    <w:lvl w:ilvl="5" w:tplc="23A864F6">
      <w:numFmt w:val="bullet"/>
      <w:lvlText w:val="•"/>
      <w:lvlJc w:val="left"/>
      <w:pPr>
        <w:ind w:left="5300" w:hanging="567"/>
      </w:pPr>
      <w:rPr>
        <w:rFonts w:hint="default"/>
        <w:lang w:val="uk-UA" w:eastAsia="en-US" w:bidi="ar-SA"/>
      </w:rPr>
    </w:lvl>
    <w:lvl w:ilvl="6" w:tplc="A900FF40">
      <w:numFmt w:val="bullet"/>
      <w:lvlText w:val="•"/>
      <w:lvlJc w:val="left"/>
      <w:pPr>
        <w:ind w:left="6248" w:hanging="567"/>
      </w:pPr>
      <w:rPr>
        <w:rFonts w:hint="default"/>
        <w:lang w:val="uk-UA" w:eastAsia="en-US" w:bidi="ar-SA"/>
      </w:rPr>
    </w:lvl>
    <w:lvl w:ilvl="7" w:tplc="C3AC5658">
      <w:numFmt w:val="bullet"/>
      <w:lvlText w:val="•"/>
      <w:lvlJc w:val="left"/>
      <w:pPr>
        <w:ind w:left="7196" w:hanging="567"/>
      </w:pPr>
      <w:rPr>
        <w:rFonts w:hint="default"/>
        <w:lang w:val="uk-UA" w:eastAsia="en-US" w:bidi="ar-SA"/>
      </w:rPr>
    </w:lvl>
    <w:lvl w:ilvl="8" w:tplc="F52426B0">
      <w:numFmt w:val="bullet"/>
      <w:lvlText w:val="•"/>
      <w:lvlJc w:val="left"/>
      <w:pPr>
        <w:ind w:left="8144" w:hanging="567"/>
      </w:pPr>
      <w:rPr>
        <w:rFonts w:hint="default"/>
        <w:lang w:val="uk-UA" w:eastAsia="en-US" w:bidi="ar-SA"/>
      </w:rPr>
    </w:lvl>
  </w:abstractNum>
  <w:abstractNum w:abstractNumId="1" w15:restartNumberingAfterBreak="0">
    <w:nsid w:val="58D355A5"/>
    <w:multiLevelType w:val="hybridMultilevel"/>
    <w:tmpl w:val="ADCE4CC6"/>
    <w:lvl w:ilvl="0" w:tplc="5C50CF2E">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4"/>
    <w:rsid w:val="00000D79"/>
    <w:rsid w:val="00014661"/>
    <w:rsid w:val="00014DBD"/>
    <w:rsid w:val="0001609C"/>
    <w:rsid w:val="000360C0"/>
    <w:rsid w:val="00083EEB"/>
    <w:rsid w:val="00087A99"/>
    <w:rsid w:val="000A6054"/>
    <w:rsid w:val="000A64EA"/>
    <w:rsid w:val="000B55EC"/>
    <w:rsid w:val="000D0342"/>
    <w:rsid w:val="000E161C"/>
    <w:rsid w:val="000E23F4"/>
    <w:rsid w:val="000E294A"/>
    <w:rsid w:val="000F0874"/>
    <w:rsid w:val="000F3C88"/>
    <w:rsid w:val="00101484"/>
    <w:rsid w:val="00114276"/>
    <w:rsid w:val="001601D9"/>
    <w:rsid w:val="00161A18"/>
    <w:rsid w:val="00196856"/>
    <w:rsid w:val="001B19CE"/>
    <w:rsid w:val="001B2CDC"/>
    <w:rsid w:val="001C45A3"/>
    <w:rsid w:val="001F6D36"/>
    <w:rsid w:val="00225E47"/>
    <w:rsid w:val="002458F3"/>
    <w:rsid w:val="00265634"/>
    <w:rsid w:val="00296AAD"/>
    <w:rsid w:val="002D695E"/>
    <w:rsid w:val="002E72DA"/>
    <w:rsid w:val="003079AE"/>
    <w:rsid w:val="00314326"/>
    <w:rsid w:val="00335D8C"/>
    <w:rsid w:val="00351266"/>
    <w:rsid w:val="00365B80"/>
    <w:rsid w:val="00371053"/>
    <w:rsid w:val="003A3ECD"/>
    <w:rsid w:val="003A5A9D"/>
    <w:rsid w:val="003A6245"/>
    <w:rsid w:val="003B5BD3"/>
    <w:rsid w:val="003C02EE"/>
    <w:rsid w:val="003C0563"/>
    <w:rsid w:val="003D4C11"/>
    <w:rsid w:val="003D4DC6"/>
    <w:rsid w:val="003F46EE"/>
    <w:rsid w:val="003F74E8"/>
    <w:rsid w:val="004223CA"/>
    <w:rsid w:val="004419CB"/>
    <w:rsid w:val="00473442"/>
    <w:rsid w:val="00480C29"/>
    <w:rsid w:val="00495DE5"/>
    <w:rsid w:val="004B616B"/>
    <w:rsid w:val="004E2B07"/>
    <w:rsid w:val="004F229C"/>
    <w:rsid w:val="00574BDD"/>
    <w:rsid w:val="005D782A"/>
    <w:rsid w:val="00600879"/>
    <w:rsid w:val="0062387C"/>
    <w:rsid w:val="00642BD4"/>
    <w:rsid w:val="00654368"/>
    <w:rsid w:val="00670172"/>
    <w:rsid w:val="00675D6E"/>
    <w:rsid w:val="00676E99"/>
    <w:rsid w:val="00677015"/>
    <w:rsid w:val="00693C7A"/>
    <w:rsid w:val="006B25FD"/>
    <w:rsid w:val="006B4C1F"/>
    <w:rsid w:val="006D0B34"/>
    <w:rsid w:val="006D0EB8"/>
    <w:rsid w:val="006F656A"/>
    <w:rsid w:val="00743100"/>
    <w:rsid w:val="007509B2"/>
    <w:rsid w:val="007646FB"/>
    <w:rsid w:val="00774BF4"/>
    <w:rsid w:val="007B1EF0"/>
    <w:rsid w:val="007B64C7"/>
    <w:rsid w:val="007F012E"/>
    <w:rsid w:val="007F108F"/>
    <w:rsid w:val="00814B88"/>
    <w:rsid w:val="00814DDF"/>
    <w:rsid w:val="0082102E"/>
    <w:rsid w:val="0082534E"/>
    <w:rsid w:val="00825E94"/>
    <w:rsid w:val="00840CF0"/>
    <w:rsid w:val="00860F28"/>
    <w:rsid w:val="00865183"/>
    <w:rsid w:val="0088014A"/>
    <w:rsid w:val="0088630C"/>
    <w:rsid w:val="00891DDC"/>
    <w:rsid w:val="00897C38"/>
    <w:rsid w:val="008C6E80"/>
    <w:rsid w:val="008E09F0"/>
    <w:rsid w:val="008F7F8A"/>
    <w:rsid w:val="009008CE"/>
    <w:rsid w:val="00943B39"/>
    <w:rsid w:val="009619B6"/>
    <w:rsid w:val="00976859"/>
    <w:rsid w:val="009823F3"/>
    <w:rsid w:val="009A3EE7"/>
    <w:rsid w:val="00A12B61"/>
    <w:rsid w:val="00A46FA3"/>
    <w:rsid w:val="00A65EF8"/>
    <w:rsid w:val="00A66346"/>
    <w:rsid w:val="00A73F7D"/>
    <w:rsid w:val="00A92B9C"/>
    <w:rsid w:val="00A935C3"/>
    <w:rsid w:val="00AD246B"/>
    <w:rsid w:val="00B01E00"/>
    <w:rsid w:val="00B3252D"/>
    <w:rsid w:val="00B3605A"/>
    <w:rsid w:val="00B42BFC"/>
    <w:rsid w:val="00B45BBB"/>
    <w:rsid w:val="00B816CF"/>
    <w:rsid w:val="00B96B85"/>
    <w:rsid w:val="00BA691C"/>
    <w:rsid w:val="00BD2994"/>
    <w:rsid w:val="00BE66CC"/>
    <w:rsid w:val="00C13233"/>
    <w:rsid w:val="00C23ECC"/>
    <w:rsid w:val="00C370F1"/>
    <w:rsid w:val="00C50F8F"/>
    <w:rsid w:val="00C52507"/>
    <w:rsid w:val="00C63AD9"/>
    <w:rsid w:val="00C74E64"/>
    <w:rsid w:val="00C9317D"/>
    <w:rsid w:val="00CB4D08"/>
    <w:rsid w:val="00CC6ACD"/>
    <w:rsid w:val="00D02565"/>
    <w:rsid w:val="00D171CB"/>
    <w:rsid w:val="00D202E5"/>
    <w:rsid w:val="00D25489"/>
    <w:rsid w:val="00D35776"/>
    <w:rsid w:val="00D530D1"/>
    <w:rsid w:val="00DA618B"/>
    <w:rsid w:val="00DC57AA"/>
    <w:rsid w:val="00DD3407"/>
    <w:rsid w:val="00DE2FB4"/>
    <w:rsid w:val="00E027E0"/>
    <w:rsid w:val="00E2490A"/>
    <w:rsid w:val="00E73AA4"/>
    <w:rsid w:val="00E90600"/>
    <w:rsid w:val="00E96EFF"/>
    <w:rsid w:val="00EA5DF3"/>
    <w:rsid w:val="00EB6943"/>
    <w:rsid w:val="00ED5E15"/>
    <w:rsid w:val="00F134D8"/>
    <w:rsid w:val="00F22E7B"/>
    <w:rsid w:val="00F26783"/>
    <w:rsid w:val="00F31304"/>
    <w:rsid w:val="00F33A36"/>
    <w:rsid w:val="00F4095A"/>
    <w:rsid w:val="00F45C11"/>
    <w:rsid w:val="00F76C84"/>
    <w:rsid w:val="00FA71A9"/>
    <w:rsid w:val="00FB04AD"/>
    <w:rsid w:val="00FB27F6"/>
    <w:rsid w:val="00FB67F1"/>
    <w:rsid w:val="00FC78E3"/>
    <w:rsid w:val="00FE136D"/>
    <w:rsid w:val="00FE3764"/>
    <w:rsid w:val="00FF2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0FB81"/>
  <w15:docId w15:val="{E819EF3D-C633-4EA5-9DBA-DBB02B15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6901"/>
      <w:outlineLvl w:val="0"/>
    </w:pPr>
    <w:rPr>
      <w:sz w:val="28"/>
      <w:szCs w:val="28"/>
    </w:rPr>
  </w:style>
  <w:style w:type="paragraph" w:styleId="2">
    <w:name w:val="heading 2"/>
    <w:basedOn w:val="a"/>
    <w:uiPriority w:val="1"/>
    <w:qFormat/>
    <w:pPr>
      <w:spacing w:before="120"/>
      <w:ind w:left="241"/>
      <w:jc w:val="both"/>
      <w:outlineLvl w:val="1"/>
    </w:pPr>
    <w:rPr>
      <w:b/>
      <w:bCs/>
      <w:sz w:val="24"/>
      <w:szCs w:val="24"/>
    </w:rPr>
  </w:style>
  <w:style w:type="paragraph" w:styleId="3">
    <w:name w:val="heading 3"/>
    <w:basedOn w:val="a"/>
    <w:uiPriority w:val="1"/>
    <w:qFormat/>
    <w:pPr>
      <w:ind w:left="807"/>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iCs/>
      <w:sz w:val="24"/>
      <w:szCs w:val="24"/>
    </w:rPr>
  </w:style>
  <w:style w:type="paragraph" w:styleId="a4">
    <w:name w:val="Title"/>
    <w:basedOn w:val="a"/>
    <w:uiPriority w:val="1"/>
    <w:qFormat/>
    <w:pPr>
      <w:spacing w:before="1"/>
      <w:ind w:left="125"/>
      <w:jc w:val="center"/>
    </w:pPr>
    <w:rPr>
      <w:b/>
      <w:bCs/>
      <w:sz w:val="28"/>
      <w:szCs w:val="28"/>
    </w:rPr>
  </w:style>
  <w:style w:type="paragraph" w:styleId="a5">
    <w:name w:val="List Paragraph"/>
    <w:basedOn w:val="a"/>
    <w:uiPriority w:val="1"/>
    <w:qFormat/>
    <w:pPr>
      <w:spacing w:before="41"/>
      <w:ind w:left="807" w:hanging="56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A5A9D"/>
    <w:rPr>
      <w:rFonts w:ascii="Segoe UI" w:hAnsi="Segoe UI" w:cs="Segoe UI"/>
      <w:sz w:val="18"/>
      <w:szCs w:val="18"/>
    </w:rPr>
  </w:style>
  <w:style w:type="character" w:customStyle="1" w:styleId="a7">
    <w:name w:val="Текст у виносці Знак"/>
    <w:basedOn w:val="a0"/>
    <w:link w:val="a6"/>
    <w:uiPriority w:val="99"/>
    <w:semiHidden/>
    <w:rsid w:val="003A5A9D"/>
    <w:rPr>
      <w:rFonts w:ascii="Segoe UI" w:eastAsia="Times New Roman" w:hAnsi="Segoe UI" w:cs="Segoe UI"/>
      <w:sz w:val="18"/>
      <w:szCs w:val="18"/>
      <w:lang w:val="uk-UA"/>
    </w:rPr>
  </w:style>
  <w:style w:type="paragraph" w:styleId="a8">
    <w:name w:val="header"/>
    <w:basedOn w:val="a"/>
    <w:link w:val="a9"/>
    <w:uiPriority w:val="99"/>
    <w:unhideWhenUsed/>
    <w:rsid w:val="00480C29"/>
    <w:pPr>
      <w:tabs>
        <w:tab w:val="center" w:pos="4819"/>
        <w:tab w:val="right" w:pos="9639"/>
      </w:tabs>
    </w:pPr>
  </w:style>
  <w:style w:type="character" w:customStyle="1" w:styleId="a9">
    <w:name w:val="Верхній колонтитул Знак"/>
    <w:basedOn w:val="a0"/>
    <w:link w:val="a8"/>
    <w:uiPriority w:val="99"/>
    <w:rsid w:val="00480C29"/>
    <w:rPr>
      <w:rFonts w:ascii="Times New Roman" w:eastAsia="Times New Roman" w:hAnsi="Times New Roman" w:cs="Times New Roman"/>
      <w:lang w:val="uk-UA"/>
    </w:rPr>
  </w:style>
  <w:style w:type="paragraph" w:styleId="aa">
    <w:name w:val="footer"/>
    <w:basedOn w:val="a"/>
    <w:link w:val="ab"/>
    <w:uiPriority w:val="99"/>
    <w:unhideWhenUsed/>
    <w:rsid w:val="00480C29"/>
    <w:pPr>
      <w:tabs>
        <w:tab w:val="center" w:pos="4819"/>
        <w:tab w:val="right" w:pos="9639"/>
      </w:tabs>
    </w:pPr>
  </w:style>
  <w:style w:type="character" w:customStyle="1" w:styleId="ab">
    <w:name w:val="Нижній колонтитул Знак"/>
    <w:basedOn w:val="a0"/>
    <w:link w:val="aa"/>
    <w:uiPriority w:val="99"/>
    <w:rsid w:val="00480C29"/>
    <w:rPr>
      <w:rFonts w:ascii="Times New Roman" w:eastAsia="Times New Roman" w:hAnsi="Times New Roman" w:cs="Times New Roman"/>
      <w:lang w:val="uk-UA"/>
    </w:rPr>
  </w:style>
  <w:style w:type="table" w:styleId="ac">
    <w:name w:val="Table Grid"/>
    <w:basedOn w:val="a1"/>
    <w:uiPriority w:val="39"/>
    <w:rsid w:val="001F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65EF8"/>
    <w:pPr>
      <w:widowControl/>
      <w:autoSpaceDE/>
      <w:autoSpaceDN/>
    </w:pPr>
    <w:rPr>
      <w:rFonts w:ascii="Times New Roman" w:eastAsia="Times New Roman" w:hAnsi="Times New Roman" w:cs="Times New Roman"/>
      <w:lang w:val="uk-UA"/>
    </w:rPr>
  </w:style>
  <w:style w:type="character" w:styleId="ae">
    <w:name w:val="annotation reference"/>
    <w:basedOn w:val="a0"/>
    <w:uiPriority w:val="99"/>
    <w:semiHidden/>
    <w:unhideWhenUsed/>
    <w:rsid w:val="00495DE5"/>
    <w:rPr>
      <w:sz w:val="16"/>
      <w:szCs w:val="16"/>
    </w:rPr>
  </w:style>
  <w:style w:type="paragraph" w:styleId="af">
    <w:name w:val="annotation text"/>
    <w:basedOn w:val="a"/>
    <w:link w:val="af0"/>
    <w:uiPriority w:val="99"/>
    <w:unhideWhenUsed/>
    <w:rsid w:val="00495DE5"/>
    <w:rPr>
      <w:sz w:val="20"/>
      <w:szCs w:val="20"/>
    </w:rPr>
  </w:style>
  <w:style w:type="character" w:customStyle="1" w:styleId="af0">
    <w:name w:val="Текст примітки Знак"/>
    <w:basedOn w:val="a0"/>
    <w:link w:val="af"/>
    <w:uiPriority w:val="99"/>
    <w:rsid w:val="00495DE5"/>
    <w:rPr>
      <w:rFonts w:ascii="Times New Roman" w:eastAsia="Times New Roman" w:hAnsi="Times New Roman" w:cs="Times New Roman"/>
      <w:sz w:val="20"/>
      <w:szCs w:val="20"/>
      <w:lang w:val="uk-UA"/>
    </w:rPr>
  </w:style>
  <w:style w:type="paragraph" w:styleId="af1">
    <w:name w:val="annotation subject"/>
    <w:basedOn w:val="af"/>
    <w:next w:val="af"/>
    <w:link w:val="af2"/>
    <w:uiPriority w:val="99"/>
    <w:semiHidden/>
    <w:unhideWhenUsed/>
    <w:rsid w:val="00495DE5"/>
    <w:rPr>
      <w:b/>
      <w:bCs/>
    </w:rPr>
  </w:style>
  <w:style w:type="character" w:customStyle="1" w:styleId="af2">
    <w:name w:val="Тема примітки Знак"/>
    <w:basedOn w:val="af0"/>
    <w:link w:val="af1"/>
    <w:uiPriority w:val="99"/>
    <w:semiHidden/>
    <w:rsid w:val="00495DE5"/>
    <w:rPr>
      <w:rFonts w:ascii="Times New Roman" w:eastAsia="Times New Roman" w:hAnsi="Times New Roman"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0444">
      <w:bodyDiv w:val="1"/>
      <w:marLeft w:val="0"/>
      <w:marRight w:val="0"/>
      <w:marTop w:val="0"/>
      <w:marBottom w:val="0"/>
      <w:divBdr>
        <w:top w:val="none" w:sz="0" w:space="0" w:color="auto"/>
        <w:left w:val="none" w:sz="0" w:space="0" w:color="auto"/>
        <w:bottom w:val="none" w:sz="0" w:space="0" w:color="auto"/>
        <w:right w:val="none" w:sz="0" w:space="0" w:color="auto"/>
      </w:divBdr>
    </w:div>
    <w:div w:id="288049250">
      <w:bodyDiv w:val="1"/>
      <w:marLeft w:val="0"/>
      <w:marRight w:val="0"/>
      <w:marTop w:val="0"/>
      <w:marBottom w:val="0"/>
      <w:divBdr>
        <w:top w:val="none" w:sz="0" w:space="0" w:color="auto"/>
        <w:left w:val="none" w:sz="0" w:space="0" w:color="auto"/>
        <w:bottom w:val="none" w:sz="0" w:space="0" w:color="auto"/>
        <w:right w:val="none" w:sz="0" w:space="0" w:color="auto"/>
      </w:divBdr>
    </w:div>
    <w:div w:id="313023324">
      <w:bodyDiv w:val="1"/>
      <w:marLeft w:val="0"/>
      <w:marRight w:val="0"/>
      <w:marTop w:val="0"/>
      <w:marBottom w:val="0"/>
      <w:divBdr>
        <w:top w:val="none" w:sz="0" w:space="0" w:color="auto"/>
        <w:left w:val="none" w:sz="0" w:space="0" w:color="auto"/>
        <w:bottom w:val="none" w:sz="0" w:space="0" w:color="auto"/>
        <w:right w:val="none" w:sz="0" w:space="0" w:color="auto"/>
      </w:divBdr>
    </w:div>
    <w:div w:id="335839135">
      <w:bodyDiv w:val="1"/>
      <w:marLeft w:val="0"/>
      <w:marRight w:val="0"/>
      <w:marTop w:val="0"/>
      <w:marBottom w:val="0"/>
      <w:divBdr>
        <w:top w:val="none" w:sz="0" w:space="0" w:color="auto"/>
        <w:left w:val="none" w:sz="0" w:space="0" w:color="auto"/>
        <w:bottom w:val="none" w:sz="0" w:space="0" w:color="auto"/>
        <w:right w:val="none" w:sz="0" w:space="0" w:color="auto"/>
      </w:divBdr>
    </w:div>
    <w:div w:id="424304339">
      <w:bodyDiv w:val="1"/>
      <w:marLeft w:val="0"/>
      <w:marRight w:val="0"/>
      <w:marTop w:val="0"/>
      <w:marBottom w:val="0"/>
      <w:divBdr>
        <w:top w:val="none" w:sz="0" w:space="0" w:color="auto"/>
        <w:left w:val="none" w:sz="0" w:space="0" w:color="auto"/>
        <w:bottom w:val="none" w:sz="0" w:space="0" w:color="auto"/>
        <w:right w:val="none" w:sz="0" w:space="0" w:color="auto"/>
      </w:divBdr>
    </w:div>
    <w:div w:id="519582851">
      <w:bodyDiv w:val="1"/>
      <w:marLeft w:val="0"/>
      <w:marRight w:val="0"/>
      <w:marTop w:val="0"/>
      <w:marBottom w:val="0"/>
      <w:divBdr>
        <w:top w:val="none" w:sz="0" w:space="0" w:color="auto"/>
        <w:left w:val="none" w:sz="0" w:space="0" w:color="auto"/>
        <w:bottom w:val="none" w:sz="0" w:space="0" w:color="auto"/>
        <w:right w:val="none" w:sz="0" w:space="0" w:color="auto"/>
      </w:divBdr>
    </w:div>
    <w:div w:id="599682883">
      <w:bodyDiv w:val="1"/>
      <w:marLeft w:val="0"/>
      <w:marRight w:val="0"/>
      <w:marTop w:val="0"/>
      <w:marBottom w:val="0"/>
      <w:divBdr>
        <w:top w:val="none" w:sz="0" w:space="0" w:color="auto"/>
        <w:left w:val="none" w:sz="0" w:space="0" w:color="auto"/>
        <w:bottom w:val="none" w:sz="0" w:space="0" w:color="auto"/>
        <w:right w:val="none" w:sz="0" w:space="0" w:color="auto"/>
      </w:divBdr>
    </w:div>
    <w:div w:id="677511456">
      <w:bodyDiv w:val="1"/>
      <w:marLeft w:val="0"/>
      <w:marRight w:val="0"/>
      <w:marTop w:val="0"/>
      <w:marBottom w:val="0"/>
      <w:divBdr>
        <w:top w:val="none" w:sz="0" w:space="0" w:color="auto"/>
        <w:left w:val="none" w:sz="0" w:space="0" w:color="auto"/>
        <w:bottom w:val="none" w:sz="0" w:space="0" w:color="auto"/>
        <w:right w:val="none" w:sz="0" w:space="0" w:color="auto"/>
      </w:divBdr>
    </w:div>
    <w:div w:id="815293356">
      <w:bodyDiv w:val="1"/>
      <w:marLeft w:val="0"/>
      <w:marRight w:val="0"/>
      <w:marTop w:val="0"/>
      <w:marBottom w:val="0"/>
      <w:divBdr>
        <w:top w:val="none" w:sz="0" w:space="0" w:color="auto"/>
        <w:left w:val="none" w:sz="0" w:space="0" w:color="auto"/>
        <w:bottom w:val="none" w:sz="0" w:space="0" w:color="auto"/>
        <w:right w:val="none" w:sz="0" w:space="0" w:color="auto"/>
      </w:divBdr>
    </w:div>
    <w:div w:id="1035470695">
      <w:bodyDiv w:val="1"/>
      <w:marLeft w:val="0"/>
      <w:marRight w:val="0"/>
      <w:marTop w:val="0"/>
      <w:marBottom w:val="0"/>
      <w:divBdr>
        <w:top w:val="none" w:sz="0" w:space="0" w:color="auto"/>
        <w:left w:val="none" w:sz="0" w:space="0" w:color="auto"/>
        <w:bottom w:val="none" w:sz="0" w:space="0" w:color="auto"/>
        <w:right w:val="none" w:sz="0" w:space="0" w:color="auto"/>
      </w:divBdr>
    </w:div>
    <w:div w:id="1256934837">
      <w:bodyDiv w:val="1"/>
      <w:marLeft w:val="0"/>
      <w:marRight w:val="0"/>
      <w:marTop w:val="0"/>
      <w:marBottom w:val="0"/>
      <w:divBdr>
        <w:top w:val="none" w:sz="0" w:space="0" w:color="auto"/>
        <w:left w:val="none" w:sz="0" w:space="0" w:color="auto"/>
        <w:bottom w:val="none" w:sz="0" w:space="0" w:color="auto"/>
        <w:right w:val="none" w:sz="0" w:space="0" w:color="auto"/>
      </w:divBdr>
    </w:div>
    <w:div w:id="1448548384">
      <w:bodyDiv w:val="1"/>
      <w:marLeft w:val="0"/>
      <w:marRight w:val="0"/>
      <w:marTop w:val="0"/>
      <w:marBottom w:val="0"/>
      <w:divBdr>
        <w:top w:val="none" w:sz="0" w:space="0" w:color="auto"/>
        <w:left w:val="none" w:sz="0" w:space="0" w:color="auto"/>
        <w:bottom w:val="none" w:sz="0" w:space="0" w:color="auto"/>
        <w:right w:val="none" w:sz="0" w:space="0" w:color="auto"/>
      </w:divBdr>
    </w:div>
    <w:div w:id="1474907165">
      <w:bodyDiv w:val="1"/>
      <w:marLeft w:val="0"/>
      <w:marRight w:val="0"/>
      <w:marTop w:val="0"/>
      <w:marBottom w:val="0"/>
      <w:divBdr>
        <w:top w:val="none" w:sz="0" w:space="0" w:color="auto"/>
        <w:left w:val="none" w:sz="0" w:space="0" w:color="auto"/>
        <w:bottom w:val="none" w:sz="0" w:space="0" w:color="auto"/>
        <w:right w:val="none" w:sz="0" w:space="0" w:color="auto"/>
      </w:divBdr>
    </w:div>
    <w:div w:id="1760784433">
      <w:bodyDiv w:val="1"/>
      <w:marLeft w:val="0"/>
      <w:marRight w:val="0"/>
      <w:marTop w:val="0"/>
      <w:marBottom w:val="0"/>
      <w:divBdr>
        <w:top w:val="none" w:sz="0" w:space="0" w:color="auto"/>
        <w:left w:val="none" w:sz="0" w:space="0" w:color="auto"/>
        <w:bottom w:val="none" w:sz="0" w:space="0" w:color="auto"/>
        <w:right w:val="none" w:sz="0" w:space="0" w:color="auto"/>
      </w:divBdr>
    </w:div>
    <w:div w:id="18036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9CE8-9BDC-4A4E-B35D-4A17BC06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8582</Words>
  <Characters>4893</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Тетяна Василівна</dc:creator>
  <cp:lastModifiedBy>ДАРІЙЧУК Олександра Петрівна</cp:lastModifiedBy>
  <cp:revision>16</cp:revision>
  <cp:lastPrinted>2024-12-04T15:02:00Z</cp:lastPrinted>
  <dcterms:created xsi:type="dcterms:W3CDTF">2024-12-04T21:19:00Z</dcterms:created>
  <dcterms:modified xsi:type="dcterms:W3CDTF">2024-12-05T09:49:00Z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LastSaved">
    <vt:filetime>2024-10-17T00:00:00Z</vt:filetime>
  </property>
</Properties>
</file>