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4C28CA" w:rsidRPr="004C28CA" w:rsidTr="004C28CA">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jc w:val="center"/>
              <w:rPr>
                <w:lang w:val="ru-RU"/>
              </w:rPr>
            </w:pPr>
            <w:bookmarkStart w:id="0" w:name="_GoBack"/>
            <w:r w:rsidRPr="004C28CA">
              <w:rPr>
                <w:lang w:val="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bookmarkEnd w:id="0"/>
          </w:p>
        </w:tc>
      </w:tr>
      <w:tr w:rsidR="004C28CA" w:rsidRPr="004C28CA" w:rsidTr="004C28CA">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tc>
      </w:tr>
      <w:tr w:rsidR="004C28CA" w:rsidRPr="004C28CA" w:rsidTr="004C28CA">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ПОСТАНОВА</w:t>
            </w:r>
          </w:p>
        </w:tc>
      </w:tr>
      <w:tr w:rsidR="004C28CA" w:rsidRPr="004C28CA" w:rsidTr="004C28CA">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17.08.2022  № 149</w:t>
            </w:r>
          </w:p>
        </w:tc>
      </w:tr>
      <w:tr w:rsidR="004C28CA" w:rsidRPr="004C28CA" w:rsidTr="004C28CA">
        <w:tc>
          <w:tcPr>
            <w:tcW w:w="3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1" w:name="n3"/>
            <w:bookmarkEnd w:id="1"/>
            <w:r w:rsidRPr="004C28CA">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Зареєстровано в Міністерстві</w:t>
            </w:r>
            <w:r w:rsidRPr="004C28CA">
              <w:rPr>
                <w:lang w:val="ru-RU"/>
              </w:rPr>
              <w:br/>
            </w:r>
            <w:r w:rsidRPr="004C28CA">
              <w:rPr>
                <w:b/>
                <w:bCs/>
                <w:lang w:val="ru-RU"/>
              </w:rPr>
              <w:t>юстиції України</w:t>
            </w:r>
            <w:r w:rsidRPr="004C28CA">
              <w:rPr>
                <w:lang w:val="ru-RU"/>
              </w:rPr>
              <w:br/>
            </w:r>
            <w:r w:rsidRPr="004C28CA">
              <w:rPr>
                <w:b/>
                <w:bCs/>
                <w:lang w:val="ru-RU"/>
              </w:rPr>
              <w:t>28 вересня 2022 р.</w:t>
            </w:r>
            <w:r w:rsidRPr="004C28CA">
              <w:rPr>
                <w:lang w:val="ru-RU"/>
              </w:rPr>
              <w:br/>
            </w:r>
            <w:r w:rsidRPr="004C28CA">
              <w:rPr>
                <w:b/>
                <w:bCs/>
                <w:lang w:val="ru-RU"/>
              </w:rPr>
              <w:t>за № 1134/38470</w:t>
            </w:r>
          </w:p>
        </w:tc>
      </w:tr>
    </w:tbl>
    <w:p w:rsidR="004C28CA" w:rsidRPr="004C28CA" w:rsidRDefault="004C28CA" w:rsidP="004C28CA">
      <w:pPr>
        <w:rPr>
          <w:lang w:val="ru-RU"/>
        </w:rPr>
      </w:pPr>
      <w:bookmarkStart w:id="2" w:name="n4"/>
      <w:bookmarkEnd w:id="2"/>
      <w:r w:rsidRPr="004C28CA">
        <w:rPr>
          <w:b/>
          <w:bCs/>
          <w:lang w:val="ru-RU"/>
        </w:rPr>
        <w:t>Про затвердження Порядку ведення реєстру присвоєнь радіочастот загальних користувачів</w:t>
      </w:r>
    </w:p>
    <w:p w:rsidR="004C28CA" w:rsidRPr="004C28CA" w:rsidRDefault="004C28CA" w:rsidP="004C28CA">
      <w:pPr>
        <w:rPr>
          <w:lang w:val="ru-RU"/>
        </w:rPr>
      </w:pPr>
      <w:bookmarkStart w:id="3" w:name="n67"/>
      <w:bookmarkEnd w:id="3"/>
      <w:r w:rsidRPr="004C28CA">
        <w:rPr>
          <w:lang w:val="ru-RU"/>
        </w:rPr>
        <w:t>{Із змінами, внесеними згідно з Постановами Національної комісії,</w:t>
      </w:r>
      <w:r w:rsidRPr="004C28CA">
        <w:rPr>
          <w:lang w:val="ru-RU"/>
        </w:rPr>
        <w:br/>
        <w:t>що здійснює державне регулювання у сферах електронних комунікацій,</w:t>
      </w:r>
      <w:r w:rsidRPr="004C28CA">
        <w:rPr>
          <w:lang w:val="ru-RU"/>
        </w:rPr>
        <w:br/>
        <w:t>радіочастотного спектра та надання послуг поштового зв'язку</w:t>
      </w:r>
      <w:r w:rsidRPr="004C28CA">
        <w:rPr>
          <w:lang w:val="ru-RU"/>
        </w:rPr>
        <w:br/>
      </w:r>
      <w:hyperlink r:id="rId6" w:anchor="n2" w:tgtFrame="_blank" w:history="1">
        <w:r w:rsidRPr="004C28CA">
          <w:rPr>
            <w:rStyle w:val="a3"/>
            <w:lang w:val="ru-RU"/>
          </w:rPr>
          <w:t>№ 314 від 05.06.2024</w:t>
        </w:r>
      </w:hyperlink>
      <w:r w:rsidRPr="004C28CA">
        <w:rPr>
          <w:lang w:val="ru-RU"/>
        </w:rPr>
        <w:br/>
      </w:r>
      <w:hyperlink r:id="rId7" w:anchor="n4" w:tgtFrame="_blank" w:history="1">
        <w:r w:rsidRPr="004C28CA">
          <w:rPr>
            <w:rStyle w:val="a3"/>
            <w:lang w:val="ru-RU"/>
          </w:rPr>
          <w:t>№ 60 від 05.02.2025</w:t>
        </w:r>
      </w:hyperlink>
      <w:r w:rsidRPr="004C28CA">
        <w:rPr>
          <w:lang w:val="ru-RU"/>
        </w:rPr>
        <w:t>}</w:t>
      </w:r>
    </w:p>
    <w:p w:rsidR="004C28CA" w:rsidRPr="004C28CA" w:rsidRDefault="004C28CA" w:rsidP="004C28CA">
      <w:pPr>
        <w:rPr>
          <w:lang w:val="ru-RU"/>
        </w:rPr>
      </w:pPr>
      <w:bookmarkStart w:id="4" w:name="n5"/>
      <w:bookmarkEnd w:id="4"/>
      <w:r w:rsidRPr="004C28CA">
        <w:rPr>
          <w:lang w:val="ru-RU"/>
        </w:rPr>
        <w:t>Відповідно до </w:t>
      </w:r>
      <w:hyperlink r:id="rId8" w:anchor="n1330" w:tgtFrame="_blank" w:history="1">
        <w:r w:rsidRPr="004C28CA">
          <w:rPr>
            <w:rStyle w:val="a3"/>
            <w:lang w:val="ru-RU"/>
          </w:rPr>
          <w:t>частин четвертої</w:t>
        </w:r>
      </w:hyperlink>
      <w:r w:rsidRPr="004C28CA">
        <w:rPr>
          <w:lang w:val="ru-RU"/>
        </w:rPr>
        <w:t>, </w:t>
      </w:r>
      <w:hyperlink r:id="rId9" w:anchor="n1332" w:tgtFrame="_blank" w:history="1">
        <w:r w:rsidRPr="004C28CA">
          <w:rPr>
            <w:rStyle w:val="a3"/>
            <w:lang w:val="ru-RU"/>
          </w:rPr>
          <w:t>п’ятої</w:t>
        </w:r>
      </w:hyperlink>
      <w:r w:rsidRPr="004C28CA">
        <w:rPr>
          <w:lang w:val="ru-RU"/>
        </w:rPr>
        <w:t> та </w:t>
      </w:r>
      <w:hyperlink r:id="rId10" w:anchor="n1353" w:tgtFrame="_blank" w:history="1">
        <w:r w:rsidRPr="004C28CA">
          <w:rPr>
            <w:rStyle w:val="a3"/>
            <w:lang w:val="ru-RU"/>
          </w:rPr>
          <w:t>двадцятої</w:t>
        </w:r>
      </w:hyperlink>
      <w:r w:rsidRPr="004C28CA">
        <w:rPr>
          <w:lang w:val="ru-RU"/>
        </w:rPr>
        <w:t> статті 68 Закону України «Про електронні комунікації», </w:t>
      </w:r>
      <w:hyperlink r:id="rId11" w:anchor="n74" w:tgtFrame="_blank" w:history="1">
        <w:r w:rsidRPr="004C28CA">
          <w:rPr>
            <w:rStyle w:val="a3"/>
            <w:lang w:val="ru-RU"/>
          </w:rPr>
          <w:t>підпункту «р»</w:t>
        </w:r>
      </w:hyperlink>
      <w:r w:rsidRPr="004C28CA">
        <w:rPr>
          <w:lang w:val="ru-RU"/>
        </w:rPr>
        <w:t>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4C28CA">
        <w:rPr>
          <w:b/>
          <w:bCs/>
          <w:lang w:val="ru-RU"/>
        </w:rPr>
        <w:t>ПОСТАНОВЛЯЄ:</w:t>
      </w:r>
    </w:p>
    <w:p w:rsidR="004C28CA" w:rsidRPr="004C28CA" w:rsidRDefault="004C28CA" w:rsidP="004C28CA">
      <w:pPr>
        <w:rPr>
          <w:lang w:val="ru-RU"/>
        </w:rPr>
      </w:pPr>
      <w:bookmarkStart w:id="5" w:name="n6"/>
      <w:bookmarkEnd w:id="5"/>
      <w:r w:rsidRPr="004C28CA">
        <w:rPr>
          <w:lang w:val="ru-RU"/>
        </w:rPr>
        <w:t>1. Затвердити </w:t>
      </w:r>
      <w:hyperlink r:id="rId12" w:anchor="n12" w:history="1">
        <w:r w:rsidRPr="004C28CA">
          <w:rPr>
            <w:rStyle w:val="a3"/>
            <w:lang w:val="ru-RU"/>
          </w:rPr>
          <w:t>Порядок ведення реєстру присвоєнь радіочастот загальних користувачів</w:t>
        </w:r>
      </w:hyperlink>
      <w:r w:rsidRPr="004C28CA">
        <w:rPr>
          <w:lang w:val="ru-RU"/>
        </w:rPr>
        <w:t>, що додається.</w:t>
      </w:r>
    </w:p>
    <w:p w:rsidR="004C28CA" w:rsidRPr="004C28CA" w:rsidRDefault="004C28CA" w:rsidP="004C28CA">
      <w:pPr>
        <w:rPr>
          <w:lang w:val="ru-RU"/>
        </w:rPr>
      </w:pPr>
      <w:bookmarkStart w:id="6" w:name="n7"/>
      <w:bookmarkEnd w:id="6"/>
      <w:r w:rsidRPr="004C28CA">
        <w:rPr>
          <w:lang w:val="ru-RU"/>
        </w:rPr>
        <w:t>2. Департаменту ліцензування в установленому законодавством порядку подати цю постанову на державну реєстрацію до Міністерства юстиції України.</w:t>
      </w:r>
    </w:p>
    <w:p w:rsidR="004C28CA" w:rsidRPr="004C28CA" w:rsidRDefault="004C28CA" w:rsidP="004C28CA">
      <w:pPr>
        <w:rPr>
          <w:lang w:val="ru-RU"/>
        </w:rPr>
      </w:pPr>
      <w:bookmarkStart w:id="7" w:name="n8"/>
      <w:bookmarkEnd w:id="7"/>
      <w:r w:rsidRPr="004C28CA">
        <w:rPr>
          <w:lang w:val="ru-RU"/>
        </w:rPr>
        <w:t>3.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4C28CA" w:rsidRPr="004C28CA" w:rsidTr="004C28CA">
        <w:tc>
          <w:tcPr>
            <w:tcW w:w="21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8" w:name="n9"/>
            <w:bookmarkEnd w:id="8"/>
            <w:r w:rsidRPr="004C28CA">
              <w:rPr>
                <w:b/>
                <w:bCs/>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О. Животовський</w:t>
            </w:r>
          </w:p>
        </w:tc>
      </w:tr>
    </w:tbl>
    <w:p w:rsidR="004C28CA" w:rsidRPr="004C28CA" w:rsidRDefault="004C28CA" w:rsidP="004C28CA">
      <w:pPr>
        <w:rPr>
          <w:lang w:val="ru-RU"/>
        </w:rPr>
      </w:pPr>
      <w:r w:rsidRPr="004C28CA">
        <w:rPr>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4C28CA" w:rsidRPr="004C28CA" w:rsidTr="004C28CA">
        <w:tc>
          <w:tcPr>
            <w:tcW w:w="3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9" w:name="n63"/>
            <w:bookmarkStart w:id="10" w:name="n10"/>
            <w:bookmarkEnd w:id="9"/>
            <w:bookmarkEnd w:id="10"/>
            <w:r w:rsidRPr="004C28CA">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ЗАТВЕРДЖЕНО</w:t>
            </w:r>
            <w:r w:rsidRPr="004C28CA">
              <w:rPr>
                <w:lang w:val="ru-RU"/>
              </w:rPr>
              <w:br/>
            </w:r>
            <w:r w:rsidRPr="004C28CA">
              <w:rPr>
                <w:b/>
                <w:bCs/>
                <w:lang w:val="ru-RU"/>
              </w:rPr>
              <w:t>Постанова Національної комісії,</w:t>
            </w:r>
            <w:r w:rsidRPr="004C28CA">
              <w:rPr>
                <w:lang w:val="ru-RU"/>
              </w:rPr>
              <w:br/>
            </w:r>
            <w:r w:rsidRPr="004C28CA">
              <w:rPr>
                <w:b/>
                <w:bCs/>
                <w:lang w:val="ru-RU"/>
              </w:rPr>
              <w:t>що здійснює</w:t>
            </w:r>
            <w:r w:rsidRPr="004C28CA">
              <w:rPr>
                <w:lang w:val="ru-RU"/>
              </w:rPr>
              <w:br/>
            </w:r>
            <w:r w:rsidRPr="004C28CA">
              <w:rPr>
                <w:b/>
                <w:bCs/>
                <w:lang w:val="ru-RU"/>
              </w:rPr>
              <w:t>державне регулювання у сферах</w:t>
            </w:r>
            <w:r w:rsidRPr="004C28CA">
              <w:rPr>
                <w:lang w:val="ru-RU"/>
              </w:rPr>
              <w:br/>
            </w:r>
            <w:r w:rsidRPr="004C28CA">
              <w:rPr>
                <w:b/>
                <w:bCs/>
                <w:lang w:val="ru-RU"/>
              </w:rPr>
              <w:t>електронних комунікацій,</w:t>
            </w:r>
            <w:r w:rsidRPr="004C28CA">
              <w:rPr>
                <w:lang w:val="ru-RU"/>
              </w:rPr>
              <w:br/>
            </w:r>
            <w:r w:rsidRPr="004C28CA">
              <w:rPr>
                <w:b/>
                <w:bCs/>
                <w:lang w:val="ru-RU"/>
              </w:rPr>
              <w:t>радіочастотного спектра</w:t>
            </w:r>
            <w:r w:rsidRPr="004C28CA">
              <w:rPr>
                <w:lang w:val="ru-RU"/>
              </w:rPr>
              <w:br/>
            </w:r>
            <w:r w:rsidRPr="004C28CA">
              <w:rPr>
                <w:b/>
                <w:bCs/>
                <w:lang w:val="ru-RU"/>
              </w:rPr>
              <w:t>та надання послуг</w:t>
            </w:r>
            <w:r w:rsidRPr="004C28CA">
              <w:rPr>
                <w:lang w:val="ru-RU"/>
              </w:rPr>
              <w:br/>
            </w:r>
            <w:r w:rsidRPr="004C28CA">
              <w:rPr>
                <w:b/>
                <w:bCs/>
                <w:lang w:val="ru-RU"/>
              </w:rPr>
              <w:lastRenderedPageBreak/>
              <w:t>поштового зв’язку</w:t>
            </w:r>
            <w:r w:rsidRPr="004C28CA">
              <w:rPr>
                <w:lang w:val="ru-RU"/>
              </w:rPr>
              <w:br/>
            </w:r>
            <w:r w:rsidRPr="004C28CA">
              <w:rPr>
                <w:b/>
                <w:bCs/>
                <w:lang w:val="ru-RU"/>
              </w:rPr>
              <w:t>17 серпня 2022 року № 149</w:t>
            </w:r>
          </w:p>
        </w:tc>
      </w:tr>
      <w:tr w:rsidR="004C28CA" w:rsidRPr="004C28CA" w:rsidTr="004C28CA">
        <w:tc>
          <w:tcPr>
            <w:tcW w:w="3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11" w:name="n11"/>
            <w:bookmarkEnd w:id="11"/>
            <w:r w:rsidRPr="004C28CA">
              <w:rPr>
                <w:b/>
                <w:bCs/>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b/>
                <w:bCs/>
                <w:lang w:val="ru-RU"/>
              </w:rPr>
              <w:t>Зареєстровано в Міністерстві</w:t>
            </w:r>
            <w:r w:rsidRPr="004C28CA">
              <w:rPr>
                <w:lang w:val="ru-RU"/>
              </w:rPr>
              <w:br/>
            </w:r>
            <w:r w:rsidRPr="004C28CA">
              <w:rPr>
                <w:b/>
                <w:bCs/>
                <w:lang w:val="ru-RU"/>
              </w:rPr>
              <w:t>юстиції України</w:t>
            </w:r>
            <w:r w:rsidRPr="004C28CA">
              <w:rPr>
                <w:lang w:val="ru-RU"/>
              </w:rPr>
              <w:br/>
            </w:r>
            <w:r w:rsidRPr="004C28CA">
              <w:rPr>
                <w:b/>
                <w:bCs/>
                <w:lang w:val="ru-RU"/>
              </w:rPr>
              <w:t>28 вересня 2022 р.</w:t>
            </w:r>
            <w:r w:rsidRPr="004C28CA">
              <w:rPr>
                <w:lang w:val="ru-RU"/>
              </w:rPr>
              <w:br/>
            </w:r>
            <w:r w:rsidRPr="004C28CA">
              <w:rPr>
                <w:b/>
                <w:bCs/>
                <w:lang w:val="ru-RU"/>
              </w:rPr>
              <w:t>за № 1134/38470</w:t>
            </w:r>
          </w:p>
        </w:tc>
      </w:tr>
    </w:tbl>
    <w:p w:rsidR="004C28CA" w:rsidRPr="004C28CA" w:rsidRDefault="004C28CA" w:rsidP="004C28CA">
      <w:pPr>
        <w:rPr>
          <w:lang w:val="ru-RU"/>
        </w:rPr>
      </w:pPr>
      <w:bookmarkStart w:id="12" w:name="n12"/>
      <w:bookmarkEnd w:id="12"/>
      <w:r w:rsidRPr="004C28CA">
        <w:rPr>
          <w:b/>
          <w:bCs/>
          <w:lang w:val="ru-RU"/>
        </w:rPr>
        <w:t>ПОРЯДОК</w:t>
      </w:r>
      <w:r w:rsidRPr="004C28CA">
        <w:rPr>
          <w:lang w:val="ru-RU"/>
        </w:rPr>
        <w:br/>
      </w:r>
      <w:r w:rsidRPr="004C28CA">
        <w:rPr>
          <w:b/>
          <w:bCs/>
          <w:lang w:val="ru-RU"/>
        </w:rPr>
        <w:t>ведення реєстру присвоєнь радіочастот загальних користувачів</w:t>
      </w:r>
    </w:p>
    <w:p w:rsidR="004C28CA" w:rsidRPr="004C28CA" w:rsidRDefault="004C28CA" w:rsidP="004C28CA">
      <w:pPr>
        <w:rPr>
          <w:lang w:val="ru-RU"/>
        </w:rPr>
      </w:pPr>
      <w:bookmarkStart w:id="13" w:name="n104"/>
      <w:bookmarkEnd w:id="13"/>
      <w:r w:rsidRPr="004C28CA">
        <w:rPr>
          <w:i/>
          <w:iCs/>
          <w:lang w:val="ru-RU"/>
        </w:rPr>
        <w:t>{У тексті Порядку слова «анульоване присвоєння радіочастоти», «анулювання» замінено словами «присвоєння радіочастоти, дію якого припинено», «припинення дії» відповідно,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3" w:anchor="n6" w:tgtFrame="_blank" w:history="1">
        <w:r w:rsidRPr="004C28CA">
          <w:rPr>
            <w:rStyle w:val="a3"/>
            <w:i/>
            <w:iCs/>
            <w:lang w:val="ru-RU"/>
          </w:rPr>
          <w:t>№ 60 від 05.02.2025</w:t>
        </w:r>
      </w:hyperlink>
      <w:r w:rsidRPr="004C28CA">
        <w:rPr>
          <w:i/>
          <w:iCs/>
          <w:lang w:val="ru-RU"/>
        </w:rPr>
        <w:t>}</w:t>
      </w:r>
    </w:p>
    <w:p w:rsidR="004C28CA" w:rsidRPr="004C28CA" w:rsidRDefault="004C28CA" w:rsidP="004C28CA">
      <w:pPr>
        <w:rPr>
          <w:lang w:val="ru-RU"/>
        </w:rPr>
      </w:pPr>
      <w:bookmarkStart w:id="14" w:name="n13"/>
      <w:bookmarkEnd w:id="14"/>
      <w:r w:rsidRPr="004C28CA">
        <w:rPr>
          <w:b/>
          <w:bCs/>
          <w:lang w:val="ru-RU"/>
        </w:rPr>
        <w:t>I. Загальні положення</w:t>
      </w:r>
    </w:p>
    <w:p w:rsidR="004C28CA" w:rsidRPr="004C28CA" w:rsidRDefault="004C28CA" w:rsidP="004C28CA">
      <w:pPr>
        <w:rPr>
          <w:lang w:val="ru-RU"/>
        </w:rPr>
      </w:pPr>
      <w:bookmarkStart w:id="15" w:name="n14"/>
      <w:bookmarkEnd w:id="15"/>
      <w:r w:rsidRPr="004C28CA">
        <w:rPr>
          <w:lang w:val="ru-RU"/>
        </w:rPr>
        <w:t>1. Цей Порядок визначає процедуру ведення реєстру присвоєнь радіочастот загальних користувачів (далі - Реєстр ПРЧ), інформаційного наповнення Реєстру ПРЧ та забезпечення доступу до Реєстру ПРЧ на електронній регуляторній платформі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p w:rsidR="004C28CA" w:rsidRPr="004C28CA" w:rsidRDefault="004C28CA" w:rsidP="004C28CA">
      <w:pPr>
        <w:rPr>
          <w:lang w:val="ru-RU"/>
        </w:rPr>
      </w:pPr>
      <w:bookmarkStart w:id="16" w:name="n15"/>
      <w:bookmarkEnd w:id="16"/>
      <w:r w:rsidRPr="004C28CA">
        <w:rPr>
          <w:lang w:val="ru-RU"/>
        </w:rPr>
        <w:t>2. Цей Порядок поширюється на НКЕК, державне підприємство «Український державний центр радіочастот» (далі - УДЦР) та користувачів радіочастотного спектра України.</w:t>
      </w:r>
    </w:p>
    <w:p w:rsidR="004C28CA" w:rsidRPr="004C28CA" w:rsidRDefault="004C28CA" w:rsidP="004C28CA">
      <w:pPr>
        <w:rPr>
          <w:lang w:val="ru-RU"/>
        </w:rPr>
      </w:pPr>
      <w:bookmarkStart w:id="17" w:name="n70"/>
      <w:bookmarkEnd w:id="17"/>
      <w:r w:rsidRPr="004C28CA">
        <w:rPr>
          <w:lang w:val="ru-RU"/>
        </w:rPr>
        <w:t>3. У цьому Порядку терміни вживаються в значеннях, що визначені </w:t>
      </w:r>
      <w:hyperlink r:id="rId14" w:tgtFrame="_blank" w:history="1">
        <w:r w:rsidRPr="004C28CA">
          <w:rPr>
            <w:rStyle w:val="a3"/>
            <w:lang w:val="ru-RU"/>
          </w:rPr>
          <w:t>Законом України</w:t>
        </w:r>
      </w:hyperlink>
      <w:r w:rsidRPr="004C28CA">
        <w:rPr>
          <w:lang w:val="ru-RU"/>
        </w:rPr>
        <w:t> «Про електронні комунікації» (далі - Закон), </w:t>
      </w:r>
      <w:hyperlink r:id="rId15" w:tgtFrame="_blank" w:history="1">
        <w:r w:rsidRPr="004C28CA">
          <w:rPr>
            <w:rStyle w:val="a3"/>
            <w:lang w:val="ru-RU"/>
          </w:rPr>
          <w:t>Законом України</w:t>
        </w:r>
      </w:hyperlink>
      <w:r w:rsidRPr="004C28CA">
        <w:rPr>
          <w:lang w:val="ru-RU"/>
        </w:rPr>
        <w:t> «Про медіа», </w:t>
      </w:r>
      <w:hyperlink r:id="rId16" w:anchor="n9" w:tgtFrame="_blank" w:history="1">
        <w:r w:rsidRPr="004C28CA">
          <w:rPr>
            <w:rStyle w:val="a3"/>
            <w:lang w:val="ru-RU"/>
          </w:rPr>
          <w:t>Планом розподілу і користування радіочастотним спектром в Україні</w:t>
        </w:r>
      </w:hyperlink>
      <w:r w:rsidRPr="004C28CA">
        <w:rPr>
          <w:lang w:val="ru-RU"/>
        </w:rPr>
        <w:t>, затвердженим постановою Кабінету Міністрів України від 19 грудня 2023 № 1340, Регламентом радіозв’язку Міжнародного союзу електрозв’язку.</w:t>
      </w:r>
    </w:p>
    <w:p w:rsidR="004C28CA" w:rsidRPr="004C28CA" w:rsidRDefault="004C28CA" w:rsidP="004C28CA">
      <w:pPr>
        <w:rPr>
          <w:lang w:val="ru-RU"/>
        </w:rPr>
      </w:pPr>
      <w:bookmarkStart w:id="18" w:name="n71"/>
      <w:bookmarkEnd w:id="18"/>
      <w:r w:rsidRPr="004C28CA">
        <w:rPr>
          <w:i/>
          <w:iCs/>
          <w:lang w:val="ru-RU"/>
        </w:rPr>
        <w:t>{Пункт 3 розділу I в редакції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7" w:anchor="n7"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19" w:name="n17"/>
      <w:bookmarkEnd w:id="19"/>
      <w:r w:rsidRPr="004C28CA">
        <w:rPr>
          <w:b/>
          <w:bCs/>
          <w:lang w:val="ru-RU"/>
        </w:rPr>
        <w:t>II. Призначення та інформаційне наповнення Реєстру ПРЧ</w:t>
      </w:r>
    </w:p>
    <w:p w:rsidR="004C28CA" w:rsidRPr="004C28CA" w:rsidRDefault="004C28CA" w:rsidP="004C28CA">
      <w:pPr>
        <w:rPr>
          <w:lang w:val="ru-RU"/>
        </w:rPr>
      </w:pPr>
      <w:bookmarkStart w:id="20" w:name="n18"/>
      <w:bookmarkEnd w:id="20"/>
      <w:r w:rsidRPr="004C28CA">
        <w:rPr>
          <w:lang w:val="ru-RU"/>
        </w:rPr>
        <w:t>1. Реєстр ПРЧ призначений для забезпечення можливості отримання інформації про здійснення присвоєнь радіочастот.</w:t>
      </w:r>
    </w:p>
    <w:p w:rsidR="004C28CA" w:rsidRPr="004C28CA" w:rsidRDefault="004C28CA" w:rsidP="004C28CA">
      <w:pPr>
        <w:rPr>
          <w:lang w:val="ru-RU"/>
        </w:rPr>
      </w:pPr>
      <w:bookmarkStart w:id="21" w:name="n19"/>
      <w:bookmarkEnd w:id="21"/>
      <w:r w:rsidRPr="004C28CA">
        <w:rPr>
          <w:lang w:val="ru-RU"/>
        </w:rPr>
        <w:t>2. Доступ до Реєстру ПРЧ забезпечується електронною регуляторною платформою НКЕК.</w:t>
      </w:r>
    </w:p>
    <w:p w:rsidR="004C28CA" w:rsidRPr="004C28CA" w:rsidRDefault="004C28CA" w:rsidP="004C28CA">
      <w:pPr>
        <w:rPr>
          <w:lang w:val="ru-RU"/>
        </w:rPr>
      </w:pPr>
      <w:bookmarkStart w:id="22" w:name="n20"/>
      <w:bookmarkEnd w:id="22"/>
      <w:r w:rsidRPr="004C28CA">
        <w:rPr>
          <w:lang w:val="ru-RU"/>
        </w:rPr>
        <w:t>3. Реєстр ПРЧ наповнюється УДЦР в електронному вигляді шляхом внесення до нього відповідних відомостей з Автоматизованої інформаційної системи управління радіочастотним спектром (далі - АІ СУРС) щодо присвоєнь радіочастот для радіообладнання загальних користувачів. Реєстр ПРЧ є загальнодоступним та містить наступну основну інформацію про присвоєння радіочастот:</w:t>
      </w:r>
    </w:p>
    <w:p w:rsidR="004C28CA" w:rsidRPr="004C28CA" w:rsidRDefault="004C28CA" w:rsidP="004C28CA">
      <w:pPr>
        <w:rPr>
          <w:lang w:val="ru-RU"/>
        </w:rPr>
      </w:pPr>
      <w:bookmarkStart w:id="23" w:name="n21"/>
      <w:bookmarkEnd w:id="23"/>
      <w:r w:rsidRPr="004C28CA">
        <w:rPr>
          <w:lang w:val="ru-RU"/>
        </w:rPr>
        <w:t>номер присвоєння радіочастоти радіообладнанню (випромінювальному пристрою);</w:t>
      </w:r>
    </w:p>
    <w:p w:rsidR="004C28CA" w:rsidRPr="004C28CA" w:rsidRDefault="004C28CA" w:rsidP="004C28CA">
      <w:pPr>
        <w:rPr>
          <w:lang w:val="ru-RU"/>
        </w:rPr>
      </w:pPr>
      <w:bookmarkStart w:id="24" w:name="n22"/>
      <w:bookmarkEnd w:id="24"/>
      <w:r w:rsidRPr="004C28CA">
        <w:rPr>
          <w:lang w:val="ru-RU"/>
        </w:rPr>
        <w:lastRenderedPageBreak/>
        <w:t>статус присвоєння радіочастоти;</w:t>
      </w:r>
    </w:p>
    <w:p w:rsidR="004C28CA" w:rsidRPr="004C28CA" w:rsidRDefault="004C28CA" w:rsidP="004C28CA">
      <w:pPr>
        <w:rPr>
          <w:lang w:val="ru-RU"/>
        </w:rPr>
      </w:pPr>
      <w:bookmarkStart w:id="25" w:name="n23"/>
      <w:bookmarkEnd w:id="25"/>
      <w:r w:rsidRPr="004C28CA">
        <w:rPr>
          <w:lang w:val="ru-RU"/>
        </w:rPr>
        <w:t>дата присвоєння статусу;</w:t>
      </w:r>
    </w:p>
    <w:p w:rsidR="004C28CA" w:rsidRPr="004C28CA" w:rsidRDefault="004C28CA" w:rsidP="004C28CA">
      <w:pPr>
        <w:rPr>
          <w:lang w:val="ru-RU"/>
        </w:rPr>
      </w:pPr>
      <w:bookmarkStart w:id="26" w:name="n24"/>
      <w:bookmarkEnd w:id="26"/>
      <w:r w:rsidRPr="004C28CA">
        <w:rPr>
          <w:lang w:val="ru-RU"/>
        </w:rPr>
        <w:t>строк дії статусу присвоєння радіочастоти;</w:t>
      </w:r>
    </w:p>
    <w:p w:rsidR="004C28CA" w:rsidRPr="004C28CA" w:rsidRDefault="004C28CA" w:rsidP="004C28CA">
      <w:pPr>
        <w:rPr>
          <w:lang w:val="ru-RU"/>
        </w:rPr>
      </w:pPr>
      <w:bookmarkStart w:id="27" w:name="n25"/>
      <w:bookmarkEnd w:id="27"/>
      <w:r w:rsidRPr="004C28CA">
        <w:rPr>
          <w:lang w:val="ru-RU"/>
        </w:rPr>
        <w:t>регіон;</w:t>
      </w:r>
    </w:p>
    <w:p w:rsidR="004C28CA" w:rsidRPr="004C28CA" w:rsidRDefault="004C28CA" w:rsidP="004C28CA">
      <w:pPr>
        <w:rPr>
          <w:lang w:val="ru-RU"/>
        </w:rPr>
      </w:pPr>
      <w:bookmarkStart w:id="28" w:name="n26"/>
      <w:bookmarkEnd w:id="28"/>
      <w:r w:rsidRPr="004C28CA">
        <w:rPr>
          <w:lang w:val="ru-RU"/>
        </w:rPr>
        <w:t>населений пункт;</w:t>
      </w:r>
    </w:p>
    <w:p w:rsidR="004C28CA" w:rsidRPr="004C28CA" w:rsidRDefault="004C28CA" w:rsidP="004C28CA">
      <w:pPr>
        <w:rPr>
          <w:lang w:val="ru-RU"/>
        </w:rPr>
      </w:pPr>
      <w:bookmarkStart w:id="29" w:name="n27"/>
      <w:bookmarkEnd w:id="29"/>
      <w:r w:rsidRPr="004C28CA">
        <w:rPr>
          <w:lang w:val="ru-RU"/>
        </w:rPr>
        <w:t>назва/тип радіообладнання;</w:t>
      </w:r>
    </w:p>
    <w:p w:rsidR="004C28CA" w:rsidRPr="004C28CA" w:rsidRDefault="004C28CA" w:rsidP="004C28CA">
      <w:pPr>
        <w:rPr>
          <w:lang w:val="ru-RU"/>
        </w:rPr>
      </w:pPr>
      <w:bookmarkStart w:id="30" w:name="n28"/>
      <w:bookmarkEnd w:id="30"/>
      <w:r w:rsidRPr="004C28CA">
        <w:rPr>
          <w:lang w:val="ru-RU"/>
        </w:rPr>
        <w:t>повний клас випромінювання;</w:t>
      </w:r>
    </w:p>
    <w:p w:rsidR="004C28CA" w:rsidRPr="004C28CA" w:rsidRDefault="004C28CA" w:rsidP="004C28CA">
      <w:pPr>
        <w:rPr>
          <w:lang w:val="ru-RU"/>
        </w:rPr>
      </w:pPr>
      <w:bookmarkStart w:id="31" w:name="n29"/>
      <w:bookmarkEnd w:id="31"/>
      <w:r w:rsidRPr="004C28CA">
        <w:rPr>
          <w:lang w:val="ru-RU"/>
        </w:rPr>
        <w:t>присвоєні номінали (смуги, канали) радіочастот приймання/передавання, МГц;</w:t>
      </w:r>
    </w:p>
    <w:p w:rsidR="004C28CA" w:rsidRPr="004C28CA" w:rsidRDefault="004C28CA" w:rsidP="004C28CA">
      <w:pPr>
        <w:rPr>
          <w:lang w:val="ru-RU"/>
        </w:rPr>
      </w:pPr>
      <w:bookmarkStart w:id="32" w:name="n30"/>
      <w:bookmarkEnd w:id="32"/>
      <w:r w:rsidRPr="004C28CA">
        <w:rPr>
          <w:lang w:val="ru-RU"/>
        </w:rPr>
        <w:t>радіотехнологія;</w:t>
      </w:r>
    </w:p>
    <w:p w:rsidR="004C28CA" w:rsidRPr="004C28CA" w:rsidRDefault="004C28CA" w:rsidP="004C28CA">
      <w:pPr>
        <w:rPr>
          <w:lang w:val="ru-RU"/>
        </w:rPr>
      </w:pPr>
      <w:bookmarkStart w:id="33" w:name="n31"/>
      <w:bookmarkEnd w:id="33"/>
      <w:r w:rsidRPr="004C28CA">
        <w:rPr>
          <w:lang w:val="ru-RU"/>
        </w:rPr>
        <w:t>номер розрахунку електромагнітної сумісності (за наявності);</w:t>
      </w:r>
    </w:p>
    <w:p w:rsidR="004C28CA" w:rsidRPr="004C28CA" w:rsidRDefault="004C28CA" w:rsidP="004C28CA">
      <w:pPr>
        <w:rPr>
          <w:lang w:val="ru-RU"/>
        </w:rPr>
      </w:pPr>
      <w:bookmarkStart w:id="34" w:name="n32"/>
      <w:bookmarkEnd w:id="34"/>
      <w:r w:rsidRPr="004C28CA">
        <w:rPr>
          <w:lang w:val="ru-RU"/>
        </w:rPr>
        <w:t>позивний (за наявності).</w:t>
      </w:r>
    </w:p>
    <w:p w:rsidR="004C28CA" w:rsidRPr="004C28CA" w:rsidRDefault="004C28CA" w:rsidP="004C28CA">
      <w:pPr>
        <w:rPr>
          <w:lang w:val="ru-RU"/>
        </w:rPr>
      </w:pPr>
      <w:bookmarkStart w:id="35" w:name="n33"/>
      <w:bookmarkEnd w:id="35"/>
      <w:r w:rsidRPr="004C28CA">
        <w:rPr>
          <w:b/>
          <w:bCs/>
          <w:lang w:val="ru-RU"/>
        </w:rPr>
        <w:t>III. Порядок внесення даних до Реєстру ПРЧ</w:t>
      </w:r>
    </w:p>
    <w:p w:rsidR="004C28CA" w:rsidRPr="004C28CA" w:rsidRDefault="004C28CA" w:rsidP="004C28CA">
      <w:pPr>
        <w:rPr>
          <w:lang w:val="ru-RU"/>
        </w:rPr>
      </w:pPr>
      <w:bookmarkStart w:id="36" w:name="n34"/>
      <w:bookmarkEnd w:id="36"/>
      <w:r w:rsidRPr="004C28CA">
        <w:rPr>
          <w:lang w:val="ru-RU"/>
        </w:rPr>
        <w:t>1. Дані Реєстру ПРЧ формуються з відомостей із АІ СУРС, ведення якої забезпечує УДЦР.</w:t>
      </w:r>
    </w:p>
    <w:p w:rsidR="004C28CA" w:rsidRPr="004C28CA" w:rsidRDefault="004C28CA" w:rsidP="004C28CA">
      <w:pPr>
        <w:rPr>
          <w:lang w:val="ru-RU"/>
        </w:rPr>
      </w:pPr>
      <w:bookmarkStart w:id="37" w:name="n35"/>
      <w:bookmarkEnd w:id="37"/>
      <w:r w:rsidRPr="004C28CA">
        <w:rPr>
          <w:lang w:val="ru-RU"/>
        </w:rPr>
        <w:t>2. УДЦР, не менше ніж один раз на тиждень, із застосуванням функціоналу АІ СУРС, імпортує відповідні дані у файл для внесення до Реєстру ПРЧ на електронній регуляторній платформі.</w:t>
      </w:r>
    </w:p>
    <w:p w:rsidR="004C28CA" w:rsidRPr="004C28CA" w:rsidRDefault="004C28CA" w:rsidP="004C28CA">
      <w:pPr>
        <w:rPr>
          <w:lang w:val="ru-RU"/>
        </w:rPr>
      </w:pPr>
      <w:bookmarkStart w:id="38" w:name="n36"/>
      <w:bookmarkEnd w:id="38"/>
      <w:r w:rsidRPr="004C28CA">
        <w:rPr>
          <w:lang w:val="ru-RU"/>
        </w:rPr>
        <w:t>3. Реєстр ПРЧ забезпечує користувачам можливість пошуку присвоєнь радіочастот за наступними пошуковими критеріями:</w:t>
      </w:r>
    </w:p>
    <w:p w:rsidR="004C28CA" w:rsidRPr="004C28CA" w:rsidRDefault="004C28CA" w:rsidP="004C28CA">
      <w:pPr>
        <w:rPr>
          <w:lang w:val="ru-RU"/>
        </w:rPr>
      </w:pPr>
      <w:bookmarkStart w:id="39" w:name="n37"/>
      <w:bookmarkEnd w:id="39"/>
      <w:r w:rsidRPr="004C28CA">
        <w:rPr>
          <w:lang w:val="ru-RU"/>
        </w:rPr>
        <w:t>номер присвоєння радіочастоти радіообладнанню (випромінювальному пристрою);</w:t>
      </w:r>
    </w:p>
    <w:p w:rsidR="004C28CA" w:rsidRPr="004C28CA" w:rsidRDefault="004C28CA" w:rsidP="004C28CA">
      <w:pPr>
        <w:rPr>
          <w:lang w:val="ru-RU"/>
        </w:rPr>
      </w:pPr>
      <w:bookmarkStart w:id="40" w:name="n38"/>
      <w:bookmarkEnd w:id="40"/>
      <w:r w:rsidRPr="004C28CA">
        <w:rPr>
          <w:lang w:val="ru-RU"/>
        </w:rPr>
        <w:t>статус присвоєння радіочастоти;</w:t>
      </w:r>
    </w:p>
    <w:p w:rsidR="004C28CA" w:rsidRPr="004C28CA" w:rsidRDefault="004C28CA" w:rsidP="004C28CA">
      <w:pPr>
        <w:rPr>
          <w:lang w:val="ru-RU"/>
        </w:rPr>
      </w:pPr>
      <w:bookmarkStart w:id="41" w:name="n39"/>
      <w:bookmarkEnd w:id="41"/>
      <w:r w:rsidRPr="004C28CA">
        <w:rPr>
          <w:lang w:val="ru-RU"/>
        </w:rPr>
        <w:t>дата присвоєння статусу;</w:t>
      </w:r>
    </w:p>
    <w:p w:rsidR="004C28CA" w:rsidRPr="004C28CA" w:rsidRDefault="004C28CA" w:rsidP="004C28CA">
      <w:pPr>
        <w:rPr>
          <w:lang w:val="ru-RU"/>
        </w:rPr>
      </w:pPr>
      <w:bookmarkStart w:id="42" w:name="n40"/>
      <w:bookmarkEnd w:id="42"/>
      <w:r w:rsidRPr="004C28CA">
        <w:rPr>
          <w:lang w:val="ru-RU"/>
        </w:rPr>
        <w:t>регіон;</w:t>
      </w:r>
    </w:p>
    <w:p w:rsidR="004C28CA" w:rsidRPr="004C28CA" w:rsidRDefault="004C28CA" w:rsidP="004C28CA">
      <w:pPr>
        <w:rPr>
          <w:lang w:val="ru-RU"/>
        </w:rPr>
      </w:pPr>
      <w:bookmarkStart w:id="43" w:name="n41"/>
      <w:bookmarkEnd w:id="43"/>
      <w:r w:rsidRPr="004C28CA">
        <w:rPr>
          <w:lang w:val="ru-RU"/>
        </w:rPr>
        <w:t>населений пункт;</w:t>
      </w:r>
    </w:p>
    <w:p w:rsidR="004C28CA" w:rsidRPr="004C28CA" w:rsidRDefault="004C28CA" w:rsidP="004C28CA">
      <w:pPr>
        <w:rPr>
          <w:lang w:val="ru-RU"/>
        </w:rPr>
      </w:pPr>
      <w:bookmarkStart w:id="44" w:name="n42"/>
      <w:bookmarkEnd w:id="44"/>
      <w:r w:rsidRPr="004C28CA">
        <w:rPr>
          <w:lang w:val="ru-RU"/>
        </w:rPr>
        <w:t>назва/тип радіообладнання;</w:t>
      </w:r>
    </w:p>
    <w:p w:rsidR="004C28CA" w:rsidRPr="004C28CA" w:rsidRDefault="004C28CA" w:rsidP="004C28CA">
      <w:pPr>
        <w:rPr>
          <w:lang w:val="ru-RU"/>
        </w:rPr>
      </w:pPr>
      <w:bookmarkStart w:id="45" w:name="n43"/>
      <w:bookmarkEnd w:id="45"/>
      <w:r w:rsidRPr="004C28CA">
        <w:rPr>
          <w:lang w:val="ru-RU"/>
        </w:rPr>
        <w:t>радіотехнологія;</w:t>
      </w:r>
    </w:p>
    <w:p w:rsidR="004C28CA" w:rsidRPr="004C28CA" w:rsidRDefault="004C28CA" w:rsidP="004C28CA">
      <w:pPr>
        <w:rPr>
          <w:lang w:val="ru-RU"/>
        </w:rPr>
      </w:pPr>
      <w:bookmarkStart w:id="46" w:name="n44"/>
      <w:bookmarkEnd w:id="46"/>
      <w:r w:rsidRPr="004C28CA">
        <w:rPr>
          <w:lang w:val="ru-RU"/>
        </w:rPr>
        <w:t>номер розрахунку електромагнітної сумісності.</w:t>
      </w:r>
    </w:p>
    <w:p w:rsidR="004C28CA" w:rsidRPr="004C28CA" w:rsidRDefault="004C28CA" w:rsidP="004C28CA">
      <w:pPr>
        <w:rPr>
          <w:lang w:val="ru-RU"/>
        </w:rPr>
      </w:pPr>
      <w:bookmarkStart w:id="47" w:name="n45"/>
      <w:bookmarkEnd w:id="47"/>
      <w:r w:rsidRPr="004C28CA">
        <w:rPr>
          <w:lang w:val="ru-RU"/>
        </w:rPr>
        <w:t>4. За зверненням користувача радіочастотного спектра, якому здійснено присвоєння радіочастоти, на підставі даних з Реєстру ПРЧ, уповноважені посадові особи НКЕК протягом п’яти робочих днів надають (надсилають) йому в електронній або паперовій формі (за вибором ініціатора звернення) на безоплатній основі витяг з Реєстру ПРЧ за формою, наведеною у </w:t>
      </w:r>
      <w:hyperlink r:id="rId18" w:anchor="n62" w:history="1">
        <w:r w:rsidRPr="004C28CA">
          <w:rPr>
            <w:rStyle w:val="a3"/>
            <w:lang w:val="ru-RU"/>
          </w:rPr>
          <w:t>додатку</w:t>
        </w:r>
      </w:hyperlink>
      <w:r w:rsidRPr="004C28CA">
        <w:rPr>
          <w:lang w:val="ru-RU"/>
        </w:rPr>
        <w:t> до цього Порядку.</w:t>
      </w:r>
    </w:p>
    <w:p w:rsidR="004C28CA" w:rsidRPr="004C28CA" w:rsidRDefault="004C28CA" w:rsidP="004C28CA">
      <w:pPr>
        <w:rPr>
          <w:lang w:val="ru-RU"/>
        </w:rPr>
      </w:pPr>
      <w:bookmarkStart w:id="48" w:name="n46"/>
      <w:bookmarkEnd w:id="48"/>
      <w:r w:rsidRPr="004C28CA">
        <w:rPr>
          <w:b/>
          <w:bCs/>
          <w:lang w:val="ru-RU"/>
        </w:rPr>
        <w:t>IV. Статуси присвоєння радіочастот та умови їх зміни</w:t>
      </w:r>
    </w:p>
    <w:p w:rsidR="004C28CA" w:rsidRPr="004C28CA" w:rsidRDefault="004C28CA" w:rsidP="004C28CA">
      <w:pPr>
        <w:rPr>
          <w:lang w:val="ru-RU"/>
        </w:rPr>
      </w:pPr>
      <w:bookmarkStart w:id="49" w:name="n47"/>
      <w:bookmarkEnd w:id="49"/>
      <w:r w:rsidRPr="004C28CA">
        <w:rPr>
          <w:lang w:val="ru-RU"/>
        </w:rPr>
        <w:t>1. В Реєстрі ПРЧ застосовуються наступні статуси присвоєнь радіочастот:</w:t>
      </w:r>
    </w:p>
    <w:p w:rsidR="004C28CA" w:rsidRPr="004C28CA" w:rsidRDefault="004C28CA" w:rsidP="004C28CA">
      <w:pPr>
        <w:rPr>
          <w:lang w:val="ru-RU"/>
        </w:rPr>
      </w:pPr>
      <w:bookmarkStart w:id="50" w:name="n48"/>
      <w:bookmarkEnd w:id="50"/>
      <w:r w:rsidRPr="004C28CA">
        <w:rPr>
          <w:lang w:val="ru-RU"/>
        </w:rPr>
        <w:lastRenderedPageBreak/>
        <w:t>1) заявлене присвоєння радіочастоти;</w:t>
      </w:r>
    </w:p>
    <w:p w:rsidR="004C28CA" w:rsidRPr="004C28CA" w:rsidRDefault="004C28CA" w:rsidP="004C28CA">
      <w:pPr>
        <w:rPr>
          <w:lang w:val="ru-RU"/>
        </w:rPr>
      </w:pPr>
      <w:bookmarkStart w:id="51" w:name="n49"/>
      <w:bookmarkEnd w:id="51"/>
      <w:r w:rsidRPr="004C28CA">
        <w:rPr>
          <w:lang w:val="ru-RU"/>
        </w:rPr>
        <w:t>2) заплановане присвоєння радіочастоти;</w:t>
      </w:r>
    </w:p>
    <w:p w:rsidR="004C28CA" w:rsidRPr="004C28CA" w:rsidRDefault="004C28CA" w:rsidP="004C28CA">
      <w:pPr>
        <w:rPr>
          <w:lang w:val="ru-RU"/>
        </w:rPr>
      </w:pPr>
      <w:bookmarkStart w:id="52" w:name="n65"/>
      <w:bookmarkEnd w:id="52"/>
      <w:r w:rsidRPr="004C28CA">
        <w:rPr>
          <w:lang w:val="ru-RU"/>
        </w:rPr>
        <w:t>3) незадіяне присвоєння радіочастоти;</w:t>
      </w:r>
    </w:p>
    <w:p w:rsidR="004C28CA" w:rsidRPr="004C28CA" w:rsidRDefault="004C28CA" w:rsidP="004C28CA">
      <w:pPr>
        <w:rPr>
          <w:lang w:val="ru-RU"/>
        </w:rPr>
      </w:pPr>
      <w:bookmarkStart w:id="53" w:name="n50"/>
      <w:bookmarkEnd w:id="53"/>
      <w:r w:rsidRPr="004C28CA">
        <w:rPr>
          <w:lang w:val="ru-RU"/>
        </w:rPr>
        <w:t>4) задіяне присвоєння радіочастоти;</w:t>
      </w:r>
    </w:p>
    <w:p w:rsidR="004C28CA" w:rsidRPr="004C28CA" w:rsidRDefault="004C28CA" w:rsidP="004C28CA">
      <w:pPr>
        <w:rPr>
          <w:lang w:val="ru-RU"/>
        </w:rPr>
      </w:pPr>
      <w:bookmarkStart w:id="54" w:name="n51"/>
      <w:bookmarkEnd w:id="54"/>
      <w:r w:rsidRPr="004C28CA">
        <w:rPr>
          <w:lang w:val="ru-RU"/>
        </w:rPr>
        <w:t>5) присвоєння радіочастоти, дію якого припинено;</w:t>
      </w:r>
    </w:p>
    <w:p w:rsidR="004C28CA" w:rsidRPr="004C28CA" w:rsidRDefault="004C28CA" w:rsidP="004C28CA">
      <w:pPr>
        <w:rPr>
          <w:lang w:val="ru-RU"/>
        </w:rPr>
      </w:pPr>
      <w:bookmarkStart w:id="55" w:name="n74"/>
      <w:bookmarkEnd w:id="55"/>
      <w:r w:rsidRPr="004C28CA">
        <w:rPr>
          <w:lang w:val="ru-RU"/>
        </w:rPr>
        <w:t>6) присвоєння радіочастоти, дію якого тимчасово припинено.</w:t>
      </w:r>
    </w:p>
    <w:p w:rsidR="004C28CA" w:rsidRPr="004C28CA" w:rsidRDefault="004C28CA" w:rsidP="004C28CA">
      <w:pPr>
        <w:rPr>
          <w:lang w:val="ru-RU"/>
        </w:rPr>
      </w:pPr>
      <w:bookmarkStart w:id="56" w:name="n75"/>
      <w:bookmarkEnd w:id="56"/>
      <w:r w:rsidRPr="004C28CA">
        <w:rPr>
          <w:i/>
          <w:iCs/>
          <w:lang w:val="ru-RU"/>
        </w:rPr>
        <w:t>{Пункт 1 розділу IV доповнено новим підпунктом 6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9" w:anchor="n9"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57" w:name="n52"/>
      <w:bookmarkEnd w:id="57"/>
      <w:r w:rsidRPr="004C28CA">
        <w:rPr>
          <w:lang w:val="ru-RU"/>
        </w:rPr>
        <w:t>2. При надходженні до УДЦР замовлення на виконання та надання розрахунку електромагнітної сумісності (далі - Розрахунок ЕМС) або надходження декларації про забезпечення електромагнітної сумісності радіообладнання (далі - ЕМС РО) (для радіообладнання, для експлуатації якого не потрібно проводити розрахунки електромагнітної сумісності) та внесення фахівцями УДЦР даних із заявочних документів до АІ СУРС відповідному присвоєнню радіочастоти автоматично присвоюється номер та статус заявлене.</w:t>
      </w:r>
    </w:p>
    <w:p w:rsidR="004C28CA" w:rsidRPr="004C28CA" w:rsidRDefault="004C28CA" w:rsidP="004C28CA">
      <w:pPr>
        <w:rPr>
          <w:lang w:val="ru-RU"/>
        </w:rPr>
      </w:pPr>
      <w:bookmarkStart w:id="58" w:name="n53"/>
      <w:bookmarkEnd w:id="58"/>
      <w:r w:rsidRPr="004C28CA">
        <w:rPr>
          <w:lang w:val="ru-RU"/>
        </w:rPr>
        <w:t>3. У разі позитивного результату Розрахунку ЕМС або позитивного розгляду декларації про забезпечення ЕМС РО (для радіообладнання, для експлуатації якого не потрібно проводити розрахунки електромагнітної сумісності) та надходження оплати за відповідним рахунком, УДЦР в Реєстрі ПРЧ протягом трьох робочих днів змінює статус присвоєння радіочастоти із заявленого на заплановане.</w:t>
      </w:r>
    </w:p>
    <w:p w:rsidR="004C28CA" w:rsidRPr="004C28CA" w:rsidRDefault="004C28CA" w:rsidP="004C28CA">
      <w:pPr>
        <w:rPr>
          <w:lang w:val="ru-RU"/>
        </w:rPr>
      </w:pPr>
      <w:bookmarkStart w:id="59" w:name="n54"/>
      <w:bookmarkEnd w:id="59"/>
      <w:r w:rsidRPr="004C28CA">
        <w:rPr>
          <w:lang w:val="ru-RU"/>
        </w:rPr>
        <w:t>4. У разі негативного результату Розрахунку ЕМС запис про заявлене присвоєння радіочастоти вилучається з Реєстру ПРЧ.</w:t>
      </w:r>
    </w:p>
    <w:p w:rsidR="004C28CA" w:rsidRPr="004C28CA" w:rsidRDefault="004C28CA" w:rsidP="004C28CA">
      <w:pPr>
        <w:rPr>
          <w:lang w:val="ru-RU"/>
        </w:rPr>
      </w:pPr>
      <w:bookmarkStart w:id="60" w:name="n55"/>
      <w:bookmarkEnd w:id="60"/>
      <w:r w:rsidRPr="004C28CA">
        <w:rPr>
          <w:lang w:val="ru-RU"/>
        </w:rPr>
        <w:t>5. У разі якщо протягом визначеного строку Розрахунку ЕМС не здійснено присвоєння радіочастоти, запис про заплановане присвоєння радіочастоти набуває статусу незадіяного присвоєння радіочастоти та вилучається з Реєстру ПРЧ.</w:t>
      </w:r>
    </w:p>
    <w:p w:rsidR="004C28CA" w:rsidRPr="004C28CA" w:rsidRDefault="004C28CA" w:rsidP="004C28CA">
      <w:pPr>
        <w:rPr>
          <w:lang w:val="ru-RU"/>
        </w:rPr>
      </w:pPr>
      <w:bookmarkStart w:id="61" w:name="n56"/>
      <w:bookmarkEnd w:id="61"/>
      <w:r w:rsidRPr="004C28CA">
        <w:rPr>
          <w:lang w:val="ru-RU"/>
        </w:rPr>
        <w:t>6. Після надходження оплати за розгляд та опрацювання декларації про забезпечення ЕМС РО за відповідним рахунком УДЦР та після отримання повідомлення про початок експлуатації радіообладнання статус присвоєння радіочастоти змінюється із запланованого на задіяне присвоєння радіочастоти.</w:t>
      </w:r>
    </w:p>
    <w:p w:rsidR="004C28CA" w:rsidRPr="004C28CA" w:rsidRDefault="004C28CA" w:rsidP="004C28CA">
      <w:pPr>
        <w:rPr>
          <w:lang w:val="ru-RU"/>
        </w:rPr>
      </w:pPr>
      <w:bookmarkStart w:id="62" w:name="n78"/>
      <w:bookmarkEnd w:id="62"/>
      <w:r w:rsidRPr="004C28CA">
        <w:rPr>
          <w:lang w:val="ru-RU"/>
        </w:rPr>
        <w:t>У разі якщо протягом шести місяців з дати надходження до УДЦР декларації про забезпечення ЕМС РО (для радіообладнання, для експлуатації якого не потрібно проводити розрахунки електромагнітної сумісності), користувачем радіочастотного спектру не подано повідомлення про початок експлуатації радіообладнання, запис про заплановане присвоєння радіочастоти набуває статусу незадіяного присвоєння радіочастоти та вилучається з Реєстру ПРЧ.</w:t>
      </w:r>
    </w:p>
    <w:p w:rsidR="004C28CA" w:rsidRPr="004C28CA" w:rsidRDefault="004C28CA" w:rsidP="004C28CA">
      <w:pPr>
        <w:rPr>
          <w:lang w:val="ru-RU"/>
        </w:rPr>
      </w:pPr>
      <w:bookmarkStart w:id="63" w:name="n79"/>
      <w:bookmarkEnd w:id="63"/>
      <w:r w:rsidRPr="004C28CA">
        <w:rPr>
          <w:i/>
          <w:iCs/>
          <w:lang w:val="ru-RU"/>
        </w:rPr>
        <w:t>{Пункт 6 розділу IV доповнено новим абзацом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0" w:anchor="n11"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64" w:name="n57"/>
      <w:bookmarkEnd w:id="64"/>
      <w:r w:rsidRPr="004C28CA">
        <w:rPr>
          <w:lang w:val="ru-RU"/>
        </w:rPr>
        <w:lastRenderedPageBreak/>
        <w:t>7. Протягом десяти робочих днів з дня виникнення підстав для припинення дії присвоєння радіочастоти, зазначених у </w:t>
      </w:r>
      <w:hyperlink r:id="rId21" w:anchor="n1413" w:tgtFrame="_blank" w:history="1">
        <w:r w:rsidRPr="004C28CA">
          <w:rPr>
            <w:rStyle w:val="a3"/>
            <w:lang w:val="ru-RU"/>
          </w:rPr>
          <w:t>частині другій</w:t>
        </w:r>
      </w:hyperlink>
      <w:r w:rsidRPr="004C28CA">
        <w:rPr>
          <w:lang w:val="ru-RU"/>
        </w:rPr>
        <w:t> статті 70 Закону, статус присвоєння радіочастоти змінюється із задіяного на присвоєння радіочастоти, дію якого припинено, про що користувач радіочастотного спектра інформується в електронному кабінеті на електронній регуляторній платформі. У випадках, передбачених пунктами 3-5 частини другої цієї статті, припинення дії присвоєння радіочастоти здійснюється на підставі рішення регуляторного органу із зазначенням підстав припинення дії та їх обґрунтування.</w:t>
      </w:r>
    </w:p>
    <w:p w:rsidR="004C28CA" w:rsidRPr="004C28CA" w:rsidRDefault="004C28CA" w:rsidP="004C28CA">
      <w:pPr>
        <w:rPr>
          <w:lang w:val="ru-RU"/>
        </w:rPr>
      </w:pPr>
      <w:bookmarkStart w:id="65" w:name="n82"/>
      <w:bookmarkEnd w:id="65"/>
      <w:r w:rsidRPr="004C28CA">
        <w:rPr>
          <w:lang w:val="ru-RU"/>
        </w:rPr>
        <w:t>8. Продовження присвоєння радіочастоти здійснюється шляхом внесення відповідних змін до Реєстру ПРЧ одночасно із здійсненням продовження строку дії відповідної ліцензії на користування радіочастотним спектром, ліцензії на мовлення (ліцензії на постачання послуг для потреб мовлення) та дозволу на тимчасове мовлення. Продовження присвоєння радіочастоти здійснюється в разі та на строк продовження строку дії відповідної ліцензії на користування радіочастотним спектром, ліцензії на мовлення (ліцензії на постачання послуг для потреб мовлення) та дозволу на тимчасове мовлення.</w:t>
      </w:r>
    </w:p>
    <w:p w:rsidR="004C28CA" w:rsidRPr="004C28CA" w:rsidRDefault="004C28CA" w:rsidP="004C28CA">
      <w:pPr>
        <w:rPr>
          <w:lang w:val="ru-RU"/>
        </w:rPr>
      </w:pPr>
      <w:bookmarkStart w:id="66" w:name="n83"/>
      <w:bookmarkEnd w:id="66"/>
      <w:r w:rsidRPr="004C28CA">
        <w:rPr>
          <w:i/>
          <w:iCs/>
          <w:lang w:val="ru-RU"/>
        </w:rPr>
        <w:t>{Пункт 8 розділу IV в редакції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2" w:anchor="n13"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67" w:name="n59"/>
      <w:bookmarkEnd w:id="67"/>
      <w:r w:rsidRPr="004C28CA">
        <w:rPr>
          <w:lang w:val="ru-RU"/>
        </w:rPr>
        <w:t>9. До присвоєння радіочастоти можуть вноситися зміни у випадках, передбачених </w:t>
      </w:r>
      <w:hyperlink r:id="rId23" w:anchor="n1356" w:tgtFrame="_blank" w:history="1">
        <w:r w:rsidRPr="004C28CA">
          <w:rPr>
            <w:rStyle w:val="a3"/>
            <w:lang w:val="ru-RU"/>
          </w:rPr>
          <w:t>частиною двадцять першою</w:t>
        </w:r>
      </w:hyperlink>
      <w:r w:rsidRPr="004C28CA">
        <w:rPr>
          <w:lang w:val="ru-RU"/>
        </w:rPr>
        <w:t> статті 68 Закону. У разі зміни відомостей в реєстрі ліцензій на користування радіо-частотним спектром, зміни автоматично вносяться до Реєстру ПРЧ без заяви користувача радіочастотним спектром.</w:t>
      </w:r>
    </w:p>
    <w:p w:rsidR="004C28CA" w:rsidRPr="004C28CA" w:rsidRDefault="004C28CA" w:rsidP="004C28CA">
      <w:pPr>
        <w:rPr>
          <w:lang w:val="ru-RU"/>
        </w:rPr>
      </w:pPr>
      <w:bookmarkStart w:id="68" w:name="n86"/>
      <w:bookmarkEnd w:id="68"/>
      <w:r w:rsidRPr="004C28CA">
        <w:rPr>
          <w:lang w:val="ru-RU"/>
        </w:rPr>
        <w:t>10. Присвоєння радіочастоти визнається недійсним та вилучається з Реєстру ПРЧ у разі:</w:t>
      </w:r>
    </w:p>
    <w:p w:rsidR="004C28CA" w:rsidRPr="004C28CA" w:rsidRDefault="004C28CA" w:rsidP="004C28CA">
      <w:pPr>
        <w:rPr>
          <w:lang w:val="ru-RU"/>
        </w:rPr>
      </w:pPr>
      <w:bookmarkStart w:id="69" w:name="n87"/>
      <w:bookmarkEnd w:id="69"/>
      <w:r w:rsidRPr="004C28CA">
        <w:rPr>
          <w:lang w:val="ru-RU"/>
        </w:rPr>
        <w:t>1) не переоформлення в установлений строк на підставах, передбачених </w:t>
      </w:r>
      <w:hyperlink r:id="rId24" w:anchor="n1101" w:tgtFrame="_blank" w:history="1">
        <w:r w:rsidRPr="004C28CA">
          <w:rPr>
            <w:rStyle w:val="a3"/>
            <w:lang w:val="ru-RU"/>
          </w:rPr>
          <w:t>пунктом 2</w:t>
        </w:r>
      </w:hyperlink>
      <w:r w:rsidRPr="004C28CA">
        <w:rPr>
          <w:lang w:val="ru-RU"/>
        </w:rPr>
        <w:t> частини другої статті 53 Закону та визнання недійсною ліцензії, на підставі якої було здійснено це присвоєння радіочастоти;</w:t>
      </w:r>
    </w:p>
    <w:p w:rsidR="004C28CA" w:rsidRPr="004C28CA" w:rsidRDefault="004C28CA" w:rsidP="004C28CA">
      <w:pPr>
        <w:rPr>
          <w:lang w:val="ru-RU"/>
        </w:rPr>
      </w:pPr>
      <w:bookmarkStart w:id="70" w:name="n88"/>
      <w:bookmarkEnd w:id="70"/>
      <w:r w:rsidRPr="004C28CA">
        <w:rPr>
          <w:lang w:val="ru-RU"/>
        </w:rPr>
        <w:t>2) визнання недійсною ліцензії, що переоформлюється у зв’язку з припиненням користування частиною радіочастотного спектра відповідно до </w:t>
      </w:r>
      <w:hyperlink r:id="rId25" w:anchor="n1100" w:tgtFrame="_blank" w:history="1">
        <w:r w:rsidRPr="004C28CA">
          <w:rPr>
            <w:rStyle w:val="a3"/>
            <w:lang w:val="ru-RU"/>
          </w:rPr>
          <w:t>пунктів 1</w:t>
        </w:r>
      </w:hyperlink>
      <w:r w:rsidRPr="004C28CA">
        <w:rPr>
          <w:lang w:val="ru-RU"/>
        </w:rPr>
        <w:t>, </w:t>
      </w:r>
      <w:hyperlink r:id="rId26" w:anchor="n1102" w:tgtFrame="_blank" w:history="1">
        <w:r w:rsidRPr="004C28CA">
          <w:rPr>
            <w:rStyle w:val="a3"/>
            <w:lang w:val="ru-RU"/>
          </w:rPr>
          <w:t>3</w:t>
        </w:r>
      </w:hyperlink>
      <w:r w:rsidRPr="004C28CA">
        <w:rPr>
          <w:lang w:val="ru-RU"/>
        </w:rPr>
        <w:t> та </w:t>
      </w:r>
      <w:hyperlink r:id="rId27" w:anchor="n1103" w:tgtFrame="_blank" w:history="1">
        <w:r w:rsidRPr="004C28CA">
          <w:rPr>
            <w:rStyle w:val="a3"/>
            <w:lang w:val="ru-RU"/>
          </w:rPr>
          <w:t>4</w:t>
        </w:r>
      </w:hyperlink>
      <w:r w:rsidRPr="004C28CA">
        <w:rPr>
          <w:lang w:val="ru-RU"/>
        </w:rPr>
        <w:t> частини другої статті 53 Закону в частині присвоєнь радіочастот, що не охоплюються новою переоформленою ліцензією;</w:t>
      </w:r>
    </w:p>
    <w:p w:rsidR="004C28CA" w:rsidRPr="004C28CA" w:rsidRDefault="004C28CA" w:rsidP="004C28CA">
      <w:pPr>
        <w:rPr>
          <w:lang w:val="ru-RU"/>
        </w:rPr>
      </w:pPr>
      <w:bookmarkStart w:id="71" w:name="n89"/>
      <w:bookmarkEnd w:id="71"/>
      <w:r w:rsidRPr="004C28CA">
        <w:rPr>
          <w:lang w:val="ru-RU"/>
        </w:rPr>
        <w:t>3) отримання нового Розрахунку ЕМС відповідно до вимог </w:t>
      </w:r>
      <w:hyperlink r:id="rId28" w:anchor="n1402" w:tgtFrame="_blank" w:history="1">
        <w:r w:rsidRPr="004C28CA">
          <w:rPr>
            <w:rStyle w:val="a3"/>
            <w:lang w:val="ru-RU"/>
          </w:rPr>
          <w:t>абзацу другого</w:t>
        </w:r>
      </w:hyperlink>
      <w:r w:rsidRPr="004C28CA">
        <w:rPr>
          <w:lang w:val="ru-RU"/>
        </w:rPr>
        <w:t> частини тринадцятої статті 69 Закону або отримання нового Розрахунку ЕМС та здійснення присвоєння радіочастоти у зв’язку з модифікацією технічних параметрів та умов Розрахунку ЕМС;</w:t>
      </w:r>
    </w:p>
    <w:p w:rsidR="004C28CA" w:rsidRPr="004C28CA" w:rsidRDefault="004C28CA" w:rsidP="004C28CA">
      <w:pPr>
        <w:rPr>
          <w:lang w:val="ru-RU"/>
        </w:rPr>
      </w:pPr>
      <w:bookmarkStart w:id="72" w:name="n90"/>
      <w:bookmarkEnd w:id="72"/>
      <w:r w:rsidRPr="004C28CA">
        <w:rPr>
          <w:lang w:val="ru-RU"/>
        </w:rPr>
        <w:t>4) відмови користувача радіочастотного спектра від Розрахунку ЕМС до завершення строку його дії.</w:t>
      </w:r>
    </w:p>
    <w:p w:rsidR="004C28CA" w:rsidRPr="004C28CA" w:rsidRDefault="004C28CA" w:rsidP="004C28CA">
      <w:pPr>
        <w:rPr>
          <w:lang w:val="ru-RU"/>
        </w:rPr>
      </w:pPr>
      <w:bookmarkStart w:id="73" w:name="n100"/>
      <w:bookmarkEnd w:id="73"/>
      <w:r w:rsidRPr="004C28CA">
        <w:rPr>
          <w:i/>
          <w:iCs/>
          <w:lang w:val="ru-RU"/>
        </w:rPr>
        <w:t>{Розділ IV доповнено новим пунктом 10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29" w:anchor="n15"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74" w:name="n91"/>
      <w:bookmarkEnd w:id="74"/>
      <w:r w:rsidRPr="004C28CA">
        <w:rPr>
          <w:lang w:val="ru-RU"/>
        </w:rPr>
        <w:t>11. Статус присвоєння радіочастоти змінюється в Реєстрі ПРЧ на присвоєння радіочастоти, дію якого тимчасово припинено у разі:</w:t>
      </w:r>
    </w:p>
    <w:p w:rsidR="004C28CA" w:rsidRPr="004C28CA" w:rsidRDefault="004C28CA" w:rsidP="004C28CA">
      <w:pPr>
        <w:rPr>
          <w:lang w:val="ru-RU"/>
        </w:rPr>
      </w:pPr>
      <w:bookmarkStart w:id="75" w:name="n92"/>
      <w:bookmarkEnd w:id="75"/>
      <w:r w:rsidRPr="004C28CA">
        <w:rPr>
          <w:lang w:val="ru-RU"/>
        </w:rPr>
        <w:t>1) отримання повідомлення користувача радіочастотного спектра про тимчасове припинення користування радіочастотним спектром відповідно до </w:t>
      </w:r>
      <w:hyperlink r:id="rId30" w:anchor="n980" w:tgtFrame="_blank" w:history="1">
        <w:r w:rsidRPr="004C28CA">
          <w:rPr>
            <w:rStyle w:val="a3"/>
            <w:lang w:val="ru-RU"/>
          </w:rPr>
          <w:t>пункту 16</w:t>
        </w:r>
      </w:hyperlink>
      <w:r w:rsidRPr="004C28CA">
        <w:rPr>
          <w:lang w:val="ru-RU"/>
        </w:rPr>
        <w:t> частини першої статті 47 Закону;</w:t>
      </w:r>
    </w:p>
    <w:p w:rsidR="004C28CA" w:rsidRPr="004C28CA" w:rsidRDefault="004C28CA" w:rsidP="004C28CA">
      <w:pPr>
        <w:rPr>
          <w:lang w:val="ru-RU"/>
        </w:rPr>
      </w:pPr>
      <w:bookmarkStart w:id="76" w:name="n93"/>
      <w:bookmarkEnd w:id="76"/>
      <w:r w:rsidRPr="004C28CA">
        <w:rPr>
          <w:lang w:val="ru-RU"/>
        </w:rPr>
        <w:lastRenderedPageBreak/>
        <w:t>2) прийняття рішення Національної ради України з питань телебачення і радіомовлення про зупинення дії ліцензії відповідно до </w:t>
      </w:r>
      <w:hyperlink r:id="rId31" w:anchor="n750" w:tgtFrame="_blank" w:history="1">
        <w:r w:rsidRPr="004C28CA">
          <w:rPr>
            <w:rStyle w:val="a3"/>
            <w:lang w:val="ru-RU"/>
          </w:rPr>
          <w:t>частини дев’ятої</w:t>
        </w:r>
      </w:hyperlink>
      <w:r w:rsidRPr="004C28CA">
        <w:rPr>
          <w:lang w:val="ru-RU"/>
        </w:rPr>
        <w:t> статті 50 Закону України «Про медіа» на строк застосування санкцій передбачених </w:t>
      </w:r>
      <w:hyperlink r:id="rId32" w:tgtFrame="_blank" w:history="1">
        <w:r w:rsidRPr="004C28CA">
          <w:rPr>
            <w:rStyle w:val="a3"/>
            <w:lang w:val="ru-RU"/>
          </w:rPr>
          <w:t>Законом України</w:t>
        </w:r>
      </w:hyperlink>
      <w:r w:rsidRPr="004C28CA">
        <w:rPr>
          <w:lang w:val="ru-RU"/>
        </w:rPr>
        <w:t> «Про санкції» або про тимчасове призупинення дії ліцензії відповідно до </w:t>
      </w:r>
      <w:hyperlink r:id="rId33" w:anchor="n2185" w:tgtFrame="_blank" w:history="1">
        <w:r w:rsidRPr="004C28CA">
          <w:rPr>
            <w:rStyle w:val="a3"/>
            <w:lang w:val="ru-RU"/>
          </w:rPr>
          <w:t>частини четвертої</w:t>
        </w:r>
      </w:hyperlink>
      <w:r w:rsidRPr="004C28CA">
        <w:rPr>
          <w:lang w:val="ru-RU"/>
        </w:rPr>
        <w:t> статті 122 Закону України «Про медіа».</w:t>
      </w:r>
    </w:p>
    <w:p w:rsidR="004C28CA" w:rsidRPr="004C28CA" w:rsidRDefault="004C28CA" w:rsidP="004C28CA">
      <w:pPr>
        <w:rPr>
          <w:lang w:val="ru-RU"/>
        </w:rPr>
      </w:pPr>
      <w:bookmarkStart w:id="77" w:name="n102"/>
      <w:bookmarkEnd w:id="77"/>
      <w:r w:rsidRPr="004C28CA">
        <w:rPr>
          <w:i/>
          <w:iCs/>
          <w:lang w:val="ru-RU"/>
        </w:rPr>
        <w:t>{Розділ IV доповнено новим пунктом 11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4" w:anchor="n15" w:tgtFrame="_blank" w:history="1">
        <w:r w:rsidRPr="004C28CA">
          <w:rPr>
            <w:rStyle w:val="a3"/>
            <w:i/>
            <w:iCs/>
            <w:lang w:val="ru-RU"/>
          </w:rPr>
          <w:t>№ 314 від 05.06.2024</w:t>
        </w:r>
      </w:hyperlink>
      <w:r w:rsidRPr="004C28CA">
        <w:rPr>
          <w:i/>
          <w:iCs/>
          <w:lang w:val="ru-RU"/>
        </w:rPr>
        <w:t>}</w:t>
      </w:r>
    </w:p>
    <w:p w:rsidR="004C28CA" w:rsidRPr="004C28CA" w:rsidRDefault="004C28CA" w:rsidP="004C28CA">
      <w:pPr>
        <w:rPr>
          <w:lang w:val="ru-RU"/>
        </w:rPr>
      </w:pPr>
      <w:bookmarkStart w:id="78" w:name="n94"/>
      <w:bookmarkEnd w:id="78"/>
      <w:r w:rsidRPr="004C28CA">
        <w:rPr>
          <w:lang w:val="ru-RU"/>
        </w:rPr>
        <w:t>12. Статус присвоєння радіочастоти, дію якого тимчасово припинено змінюється в Реєстрі ПРЧ на статус задіяне присвоєння радіочастоти у разі:</w:t>
      </w:r>
    </w:p>
    <w:p w:rsidR="004C28CA" w:rsidRPr="004C28CA" w:rsidRDefault="004C28CA" w:rsidP="004C28CA">
      <w:pPr>
        <w:rPr>
          <w:lang w:val="ru-RU"/>
        </w:rPr>
      </w:pPr>
      <w:bookmarkStart w:id="79" w:name="n95"/>
      <w:bookmarkEnd w:id="79"/>
      <w:r w:rsidRPr="004C28CA">
        <w:rPr>
          <w:lang w:val="ru-RU"/>
        </w:rPr>
        <w:t>1) отримання повідомлення користувача радіочастотного спектра про відновлення користування радіочастотним спектром відповідно до </w:t>
      </w:r>
      <w:hyperlink r:id="rId35" w:anchor="n980" w:tgtFrame="_blank" w:history="1">
        <w:r w:rsidRPr="004C28CA">
          <w:rPr>
            <w:rStyle w:val="a3"/>
            <w:lang w:val="ru-RU"/>
          </w:rPr>
          <w:t>пункту 16</w:t>
        </w:r>
      </w:hyperlink>
      <w:r w:rsidRPr="004C28CA">
        <w:rPr>
          <w:lang w:val="ru-RU"/>
        </w:rPr>
        <w:t> частини першої статті 47 Закону;</w:t>
      </w:r>
    </w:p>
    <w:p w:rsidR="004C28CA" w:rsidRPr="004C28CA" w:rsidRDefault="004C28CA" w:rsidP="004C28CA">
      <w:pPr>
        <w:rPr>
          <w:lang w:val="ru-RU"/>
        </w:rPr>
      </w:pPr>
      <w:bookmarkStart w:id="80" w:name="n96"/>
      <w:bookmarkEnd w:id="80"/>
      <w:r w:rsidRPr="004C28CA">
        <w:rPr>
          <w:lang w:val="ru-RU"/>
        </w:rPr>
        <w:t>2) ухвалення рішення Національною радою України з питань телебачення і радіомовлення про поновлення дії ліцензії на мовлення відповідно до </w:t>
      </w:r>
      <w:hyperlink r:id="rId36" w:anchor="n737" w:tgtFrame="_blank" w:history="1">
        <w:r w:rsidRPr="004C28CA">
          <w:rPr>
            <w:rStyle w:val="a3"/>
            <w:lang w:val="ru-RU"/>
          </w:rPr>
          <w:t>статей 50</w:t>
        </w:r>
      </w:hyperlink>
      <w:r w:rsidRPr="004C28CA">
        <w:rPr>
          <w:lang w:val="ru-RU"/>
        </w:rPr>
        <w:t> або </w:t>
      </w:r>
      <w:hyperlink r:id="rId37" w:anchor="n2181" w:tgtFrame="_blank" w:history="1">
        <w:r w:rsidRPr="004C28CA">
          <w:rPr>
            <w:rStyle w:val="a3"/>
            <w:lang w:val="ru-RU"/>
          </w:rPr>
          <w:t>122</w:t>
        </w:r>
      </w:hyperlink>
      <w:r w:rsidRPr="004C28CA">
        <w:rPr>
          <w:lang w:val="ru-RU"/>
        </w:rPr>
        <w:t> Закону України «Про медіа»;</w:t>
      </w:r>
    </w:p>
    <w:p w:rsidR="004C28CA" w:rsidRPr="004C28CA" w:rsidRDefault="004C28CA" w:rsidP="004C28CA">
      <w:pPr>
        <w:rPr>
          <w:lang w:val="ru-RU"/>
        </w:rPr>
      </w:pPr>
      <w:bookmarkStart w:id="81" w:name="n97"/>
      <w:bookmarkEnd w:id="81"/>
      <w:r w:rsidRPr="004C28CA">
        <w:rPr>
          <w:lang w:val="ru-RU"/>
        </w:rPr>
        <w:t>3) не надходження від користувача радіочастотного спектра, якому здійснювалось присвоєння радіочастоти без отримання ліцензії, повідомлення про відновлення користування радіочастотним спектром відповідно до </w:t>
      </w:r>
      <w:hyperlink r:id="rId38" w:anchor="n980" w:tgtFrame="_blank" w:history="1">
        <w:r w:rsidRPr="004C28CA">
          <w:rPr>
            <w:rStyle w:val="a3"/>
            <w:lang w:val="ru-RU"/>
          </w:rPr>
          <w:t>пункту 16</w:t>
        </w:r>
      </w:hyperlink>
      <w:r w:rsidRPr="004C28CA">
        <w:rPr>
          <w:lang w:val="ru-RU"/>
        </w:rPr>
        <w:t> частини першої статті 47 Закону у строк понад один рік після тимчасового припинення дії присвоєння радіочастоти.</w:t>
      </w:r>
    </w:p>
    <w:p w:rsidR="004C28CA" w:rsidRPr="004C28CA" w:rsidRDefault="004C28CA" w:rsidP="004C28CA">
      <w:pPr>
        <w:rPr>
          <w:lang w:val="ru-RU"/>
        </w:rPr>
      </w:pPr>
      <w:bookmarkStart w:id="82" w:name="n103"/>
      <w:bookmarkEnd w:id="82"/>
      <w:r w:rsidRPr="004C28CA">
        <w:rPr>
          <w:i/>
          <w:iCs/>
          <w:lang w:val="ru-RU"/>
        </w:rPr>
        <w:t>{Розділ IV доповнено новим пунктом 12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9" w:anchor="n15" w:tgtFrame="_blank" w:history="1">
        <w:r w:rsidRPr="004C28CA">
          <w:rPr>
            <w:rStyle w:val="a3"/>
            <w:i/>
            <w:iCs/>
            <w:lang w:val="ru-RU"/>
          </w:rPr>
          <w:t>№ 314 від 05.06.2024</w:t>
        </w:r>
      </w:hyperlink>
      <w:r w:rsidRPr="004C28CA">
        <w:rPr>
          <w:i/>
          <w:iCs/>
          <w:lang w:val="ru-RU"/>
        </w:rPr>
        <w:t>}</w:t>
      </w:r>
    </w:p>
    <w:tbl>
      <w:tblPr>
        <w:tblW w:w="5000" w:type="pct"/>
        <w:tblCellMar>
          <w:left w:w="0" w:type="dxa"/>
          <w:right w:w="0" w:type="dxa"/>
        </w:tblCellMar>
        <w:tblLook w:val="04A0" w:firstRow="1" w:lastRow="0" w:firstColumn="1" w:lastColumn="0" w:noHBand="0" w:noVBand="1"/>
      </w:tblPr>
      <w:tblGrid>
        <w:gridCol w:w="3932"/>
        <w:gridCol w:w="5429"/>
      </w:tblGrid>
      <w:tr w:rsidR="004C28CA" w:rsidRPr="004C28CA" w:rsidTr="004C28CA">
        <w:tc>
          <w:tcPr>
            <w:tcW w:w="21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83" w:name="n60"/>
            <w:bookmarkEnd w:id="83"/>
            <w:r w:rsidRPr="004C28CA">
              <w:rPr>
                <w:b/>
                <w:bCs/>
                <w:lang w:val="ru-RU"/>
              </w:rPr>
              <w:t>Директор Департаменту</w:t>
            </w:r>
            <w:r w:rsidRPr="004C28CA">
              <w:rPr>
                <w:lang w:val="ru-RU"/>
              </w:rPr>
              <w:br/>
            </w:r>
            <w:r w:rsidRPr="004C28CA">
              <w:rPr>
                <w:b/>
                <w:bCs/>
                <w:lang w:val="ru-RU"/>
              </w:rPr>
              <w:t>ліцензування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lang w:val="ru-RU"/>
              </w:rPr>
              <w:br/>
            </w:r>
            <w:r w:rsidRPr="004C28CA">
              <w:rPr>
                <w:b/>
                <w:bCs/>
                <w:lang w:val="ru-RU"/>
              </w:rPr>
              <w:t>І. Чернявська</w:t>
            </w:r>
          </w:p>
        </w:tc>
      </w:tr>
    </w:tbl>
    <w:p w:rsidR="004C28CA" w:rsidRPr="004C28CA" w:rsidRDefault="004C28CA" w:rsidP="004C28CA">
      <w:pPr>
        <w:rPr>
          <w:lang w:val="ru-RU"/>
        </w:rPr>
      </w:pPr>
      <w:r w:rsidRPr="004C28CA">
        <w:rPr>
          <w:lang w:val="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4C28CA" w:rsidRPr="004C28CA" w:rsidTr="004C28CA">
        <w:tc>
          <w:tcPr>
            <w:tcW w:w="225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bookmarkStart w:id="84" w:name="n64"/>
            <w:bookmarkStart w:id="85" w:name="n61"/>
            <w:bookmarkEnd w:id="84"/>
            <w:bookmarkEnd w:id="85"/>
          </w:p>
        </w:tc>
        <w:tc>
          <w:tcPr>
            <w:tcW w:w="2000" w:type="pct"/>
            <w:tcBorders>
              <w:top w:val="single" w:sz="2" w:space="0" w:color="auto"/>
              <w:left w:val="single" w:sz="2" w:space="0" w:color="auto"/>
              <w:bottom w:val="single" w:sz="2" w:space="0" w:color="auto"/>
              <w:right w:val="single" w:sz="2" w:space="0" w:color="auto"/>
            </w:tcBorders>
            <w:hideMark/>
          </w:tcPr>
          <w:p w:rsidR="00000000" w:rsidRPr="004C28CA" w:rsidRDefault="004C28CA" w:rsidP="004C28CA">
            <w:pPr>
              <w:rPr>
                <w:lang w:val="ru-RU"/>
              </w:rPr>
            </w:pPr>
            <w:r w:rsidRPr="004C28CA">
              <w:rPr>
                <w:lang w:val="ru-RU"/>
              </w:rPr>
              <w:t>Додаток</w:t>
            </w:r>
            <w:r w:rsidRPr="004C28CA">
              <w:rPr>
                <w:lang w:val="ru-RU"/>
              </w:rPr>
              <w:br/>
              <w:t>до Порядку ведення реєстру присвоєнь</w:t>
            </w:r>
            <w:r w:rsidRPr="004C28CA">
              <w:rPr>
                <w:lang w:val="ru-RU"/>
              </w:rPr>
              <w:br/>
              <w:t>радіочастот загальних користувачів</w:t>
            </w:r>
            <w:r w:rsidRPr="004C28CA">
              <w:rPr>
                <w:lang w:val="ru-RU"/>
              </w:rPr>
              <w:br/>
              <w:t>(пункт 4 розділу III)</w:t>
            </w:r>
          </w:p>
        </w:tc>
      </w:tr>
    </w:tbl>
    <w:bookmarkStart w:id="86" w:name="n62"/>
    <w:bookmarkEnd w:id="86"/>
    <w:p w:rsidR="004C28CA" w:rsidRPr="004C28CA" w:rsidRDefault="004C28CA" w:rsidP="004C28CA">
      <w:pPr>
        <w:rPr>
          <w:lang w:val="ru-RU"/>
        </w:rPr>
      </w:pPr>
      <w:r w:rsidRPr="004C28CA">
        <w:rPr>
          <w:lang w:val="ru-RU"/>
        </w:rPr>
        <w:fldChar w:fldCharType="begin"/>
      </w:r>
      <w:r w:rsidRPr="004C28CA">
        <w:rPr>
          <w:lang w:val="ru-RU"/>
        </w:rPr>
        <w:instrText xml:space="preserve"> HYPERLINK "https://zakon.rada.gov.ua/laws/file/text/101/f520384n66.docx" </w:instrText>
      </w:r>
      <w:r w:rsidRPr="004C28CA">
        <w:rPr>
          <w:lang w:val="ru-RU"/>
        </w:rPr>
        <w:fldChar w:fldCharType="separate"/>
      </w:r>
      <w:r w:rsidRPr="004C28CA">
        <w:rPr>
          <w:rStyle w:val="a3"/>
          <w:b/>
          <w:bCs/>
          <w:lang w:val="ru-RU"/>
        </w:rPr>
        <w:t>ВИТЯГ</w:t>
      </w:r>
      <w:r w:rsidRPr="004C28CA">
        <w:fldChar w:fldCharType="end"/>
      </w:r>
      <w:r w:rsidRPr="004C28CA">
        <w:rPr>
          <w:lang w:val="ru-RU"/>
        </w:rPr>
        <w:br/>
      </w:r>
      <w:r w:rsidRPr="004C28CA">
        <w:rPr>
          <w:b/>
          <w:bCs/>
          <w:lang w:val="ru-RU"/>
        </w:rPr>
        <w:t>з Реєстру присвоєнь радіочастот загальних користувачів</w:t>
      </w:r>
    </w:p>
    <w:p w:rsidR="00202E02" w:rsidRDefault="00202E02"/>
    <w:sectPr w:rsidR="0020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27"/>
    <w:rsid w:val="00000B02"/>
    <w:rsid w:val="00202E02"/>
    <w:rsid w:val="004C28CA"/>
    <w:rsid w:val="007002EB"/>
    <w:rsid w:val="00875938"/>
    <w:rsid w:val="00AD13BD"/>
    <w:rsid w:val="00B8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28CA"/>
    <w:rPr>
      <w:color w:val="0000FF" w:themeColor="hyperlink"/>
      <w:u w:val="single"/>
    </w:rPr>
  </w:style>
  <w:style w:type="paragraph" w:styleId="a4">
    <w:name w:val="Balloon Text"/>
    <w:basedOn w:val="a"/>
    <w:link w:val="a5"/>
    <w:uiPriority w:val="99"/>
    <w:semiHidden/>
    <w:unhideWhenUsed/>
    <w:rsid w:val="004C2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28CA"/>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28CA"/>
    <w:rPr>
      <w:color w:val="0000FF" w:themeColor="hyperlink"/>
      <w:u w:val="single"/>
    </w:rPr>
  </w:style>
  <w:style w:type="paragraph" w:styleId="a4">
    <w:name w:val="Balloon Text"/>
    <w:basedOn w:val="a"/>
    <w:link w:val="a5"/>
    <w:uiPriority w:val="99"/>
    <w:semiHidden/>
    <w:unhideWhenUsed/>
    <w:rsid w:val="004C2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28C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298701">
      <w:bodyDiv w:val="1"/>
      <w:marLeft w:val="0"/>
      <w:marRight w:val="0"/>
      <w:marTop w:val="0"/>
      <w:marBottom w:val="0"/>
      <w:divBdr>
        <w:top w:val="none" w:sz="0" w:space="0" w:color="auto"/>
        <w:left w:val="none" w:sz="0" w:space="0" w:color="auto"/>
        <w:bottom w:val="none" w:sz="0" w:space="0" w:color="auto"/>
        <w:right w:val="none" w:sz="0" w:space="0" w:color="auto"/>
      </w:divBdr>
      <w:divsChild>
        <w:div w:id="1098988900">
          <w:marLeft w:val="0"/>
          <w:marRight w:val="0"/>
          <w:marTop w:val="150"/>
          <w:marBottom w:val="150"/>
          <w:divBdr>
            <w:top w:val="none" w:sz="0" w:space="0" w:color="auto"/>
            <w:left w:val="none" w:sz="0" w:space="0" w:color="auto"/>
            <w:bottom w:val="none" w:sz="0" w:space="0" w:color="auto"/>
            <w:right w:val="none" w:sz="0" w:space="0" w:color="auto"/>
          </w:divBdr>
        </w:div>
        <w:div w:id="1158155509">
          <w:marLeft w:val="0"/>
          <w:marRight w:val="0"/>
          <w:marTop w:val="0"/>
          <w:marBottom w:val="150"/>
          <w:divBdr>
            <w:top w:val="none" w:sz="0" w:space="0" w:color="auto"/>
            <w:left w:val="none" w:sz="0" w:space="0" w:color="auto"/>
            <w:bottom w:val="none" w:sz="0" w:space="0" w:color="auto"/>
            <w:right w:val="none" w:sz="0" w:space="0" w:color="auto"/>
          </w:divBdr>
        </w:div>
        <w:div w:id="1021929730">
          <w:marLeft w:val="0"/>
          <w:marRight w:val="0"/>
          <w:marTop w:val="0"/>
          <w:marBottom w:val="150"/>
          <w:divBdr>
            <w:top w:val="none" w:sz="0" w:space="0" w:color="auto"/>
            <w:left w:val="none" w:sz="0" w:space="0" w:color="auto"/>
            <w:bottom w:val="none" w:sz="0" w:space="0" w:color="auto"/>
            <w:right w:val="none" w:sz="0" w:space="0" w:color="auto"/>
          </w:divBdr>
        </w:div>
        <w:div w:id="519587235">
          <w:marLeft w:val="0"/>
          <w:marRight w:val="0"/>
          <w:marTop w:val="0"/>
          <w:marBottom w:val="150"/>
          <w:divBdr>
            <w:top w:val="none" w:sz="0" w:space="0" w:color="auto"/>
            <w:left w:val="none" w:sz="0" w:space="0" w:color="auto"/>
            <w:bottom w:val="none" w:sz="0" w:space="0" w:color="auto"/>
            <w:right w:val="none" w:sz="0" w:space="0" w:color="auto"/>
          </w:divBdr>
        </w:div>
        <w:div w:id="207449956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hyperlink" Target="https://zakon.rada.gov.ua/laws/show/z0268-25" TargetMode="External"/><Relationship Id="rId18" Type="http://schemas.openxmlformats.org/officeDocument/2006/relationships/hyperlink" Target="https://zakon.rada.gov.ua/laws/show/z1134-22" TargetMode="External"/><Relationship Id="rId26" Type="http://schemas.openxmlformats.org/officeDocument/2006/relationships/hyperlink" Target="https://zakon.rada.gov.ua/laws/show/1089-20" TargetMode="External"/><Relationship Id="rId39" Type="http://schemas.openxmlformats.org/officeDocument/2006/relationships/hyperlink" Target="https://zakon.rada.gov.ua/laws/show/z0922-24" TargetMode="External"/><Relationship Id="rId3" Type="http://schemas.openxmlformats.org/officeDocument/2006/relationships/settings" Target="settings.xml"/><Relationship Id="rId21" Type="http://schemas.openxmlformats.org/officeDocument/2006/relationships/hyperlink" Target="https://zakon.rada.gov.ua/laws/show/1089-20" TargetMode="External"/><Relationship Id="rId34" Type="http://schemas.openxmlformats.org/officeDocument/2006/relationships/hyperlink" Target="https://zakon.rada.gov.ua/laws/show/z0922-24" TargetMode="External"/><Relationship Id="rId7" Type="http://schemas.openxmlformats.org/officeDocument/2006/relationships/hyperlink" Target="https://zakon.rada.gov.ua/laws/show/z0268-25" TargetMode="External"/><Relationship Id="rId12" Type="http://schemas.openxmlformats.org/officeDocument/2006/relationships/hyperlink" Target="https://zakon.rada.gov.ua/laws/show/z1134-22" TargetMode="External"/><Relationship Id="rId17" Type="http://schemas.openxmlformats.org/officeDocument/2006/relationships/hyperlink" Target="https://zakon.rada.gov.ua/laws/show/z0922-24" TargetMode="External"/><Relationship Id="rId25" Type="http://schemas.openxmlformats.org/officeDocument/2006/relationships/hyperlink" Target="https://zakon.rada.gov.ua/laws/show/1089-20" TargetMode="External"/><Relationship Id="rId33" Type="http://schemas.openxmlformats.org/officeDocument/2006/relationships/hyperlink" Target="https://zakon.rada.gov.ua/laws/show/2849-20" TargetMode="External"/><Relationship Id="rId38" Type="http://schemas.openxmlformats.org/officeDocument/2006/relationships/hyperlink" Target="https://zakon.rada.gov.ua/laws/show/1089-20" TargetMode="External"/><Relationship Id="rId2" Type="http://schemas.microsoft.com/office/2007/relationships/stylesWithEffects" Target="stylesWithEffects.xml"/><Relationship Id="rId16" Type="http://schemas.openxmlformats.org/officeDocument/2006/relationships/hyperlink" Target="https://zakon.rada.gov.ua/laws/show/1340-2023-%D0%BF" TargetMode="External"/><Relationship Id="rId20" Type="http://schemas.openxmlformats.org/officeDocument/2006/relationships/hyperlink" Target="https://zakon.rada.gov.ua/laws/show/z0922-24" TargetMode="External"/><Relationship Id="rId29" Type="http://schemas.openxmlformats.org/officeDocument/2006/relationships/hyperlink" Target="https://zakon.rada.gov.ua/laws/show/z0922-2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z0922-24" TargetMode="External"/><Relationship Id="rId11" Type="http://schemas.openxmlformats.org/officeDocument/2006/relationships/hyperlink" Target="https://zakon.rada.gov.ua/laws/show/1971-20" TargetMode="External"/><Relationship Id="rId24" Type="http://schemas.openxmlformats.org/officeDocument/2006/relationships/hyperlink" Target="https://zakon.rada.gov.ua/laws/show/1089-20" TargetMode="External"/><Relationship Id="rId32" Type="http://schemas.openxmlformats.org/officeDocument/2006/relationships/hyperlink" Target="https://zakon.rada.gov.ua/laws/show/1644-18" TargetMode="External"/><Relationship Id="rId37" Type="http://schemas.openxmlformats.org/officeDocument/2006/relationships/hyperlink" Target="https://zakon.rada.gov.ua/laws/show/2849-20" TargetMode="External"/><Relationship Id="rId40"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s://zakon.rada.gov.ua/laws/show/2849-20" TargetMode="External"/><Relationship Id="rId23" Type="http://schemas.openxmlformats.org/officeDocument/2006/relationships/hyperlink" Target="https://zakon.rada.gov.ua/laws/show/1089-20" TargetMode="External"/><Relationship Id="rId28" Type="http://schemas.openxmlformats.org/officeDocument/2006/relationships/hyperlink" Target="https://zakon.rada.gov.ua/laws/show/1089-20" TargetMode="External"/><Relationship Id="rId36" Type="http://schemas.openxmlformats.org/officeDocument/2006/relationships/hyperlink" Target="https://zakon.rada.gov.ua/laws/show/2849-20" TargetMode="External"/><Relationship Id="rId10" Type="http://schemas.openxmlformats.org/officeDocument/2006/relationships/hyperlink" Target="https://zakon.rada.gov.ua/laws/show/1089-20" TargetMode="External"/><Relationship Id="rId19" Type="http://schemas.openxmlformats.org/officeDocument/2006/relationships/hyperlink" Target="https://zakon.rada.gov.ua/laws/show/z0922-24" TargetMode="External"/><Relationship Id="rId31" Type="http://schemas.openxmlformats.org/officeDocument/2006/relationships/hyperlink" Target="https://zakon.rada.gov.ua/laws/show/2849-20" TargetMode="External"/><Relationship Id="rId4" Type="http://schemas.openxmlformats.org/officeDocument/2006/relationships/webSettings" Target="webSettings.xml"/><Relationship Id="rId9" Type="http://schemas.openxmlformats.org/officeDocument/2006/relationships/hyperlink" Target="https://zakon.rada.gov.ua/laws/show/1089-20" TargetMode="External"/><Relationship Id="rId14" Type="http://schemas.openxmlformats.org/officeDocument/2006/relationships/hyperlink" Target="https://zakon.rada.gov.ua/laws/show/1089-20" TargetMode="External"/><Relationship Id="rId22" Type="http://schemas.openxmlformats.org/officeDocument/2006/relationships/hyperlink" Target="https://zakon.rada.gov.ua/laws/show/z0922-24" TargetMode="External"/><Relationship Id="rId27" Type="http://schemas.openxmlformats.org/officeDocument/2006/relationships/hyperlink" Target="https://zakon.rada.gov.ua/laws/show/1089-20"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10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2381</Words>
  <Characters>13572</Characters>
  <Application>Microsoft Office Word</Application>
  <DocSecurity>0</DocSecurity>
  <Lines>113</Lines>
  <Paragraphs>31</Paragraphs>
  <ScaleCrop>false</ScaleCrop>
  <Company/>
  <LinksUpToDate>false</LinksUpToDate>
  <CharactersWithSpaces>15922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2025-03-27T08:52:00Z</dcterms:created>
  <dcterms:modified xsi:type="dcterms:W3CDTF">2025-03-27T08:53:00Z</dcterms:modified>
</cp:coreProperties>
</file>